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FlandersArtSans-Regular" w:hAnsi="FlandersArtSans-Regular" w:cs="Arial"/>
          <w:b/>
          <w:sz w:val="28"/>
          <w:szCs w:val="28"/>
          <w:lang w:val="nl-BE"/>
        </w:rPr>
      </w:pPr>
      <w:r>
        <w:rPr>
          <w:noProof/>
          <w:color w:val="FF0000"/>
          <w:lang w:val="nl-BE" w:eastAsia="nl-BE"/>
        </w:rPr>
        <w:drawing>
          <wp:inline distT="0" distB="0" distL="0" distR="0">
            <wp:extent cx="3383280" cy="988060"/>
            <wp:effectExtent l="0" t="0" r="7620" b="2540"/>
            <wp:docPr id="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 cstate="print"/>
                    <a:stretch>
                      <a:fillRect/>
                    </a:stretch>
                  </pic:blipFill>
                  <pic:spPr>
                    <a:xfrm>
                      <a:off x="0" y="0"/>
                      <a:ext cx="3423860" cy="999911"/>
                    </a:xfrm>
                    <a:prstGeom prst="rect">
                      <a:avLst/>
                    </a:prstGeom>
                  </pic:spPr>
                </pic:pic>
              </a:graphicData>
            </a:graphic>
          </wp:inline>
        </w:drawing>
      </w:r>
    </w:p>
    <w:p>
      <w:pPr>
        <w:jc w:val="center"/>
        <w:rPr>
          <w:rFonts w:ascii="FlandersArtSans-Regular" w:hAnsi="FlandersArtSans-Regular" w:cs="Arial"/>
          <w:b/>
          <w:sz w:val="28"/>
          <w:szCs w:val="28"/>
          <w:lang w:val="nl-BE"/>
        </w:rPr>
      </w:pPr>
      <w:r>
        <w:rPr>
          <w:rFonts w:ascii="FlandersArtSans-Regular" w:hAnsi="FlandersArtSans-Regular" w:cs="Arial"/>
          <w:b/>
          <w:sz w:val="28"/>
          <w:szCs w:val="28"/>
          <w:lang w:val="nl-BE"/>
        </w:rPr>
        <w:t>Samenvatting Vlaamse buitenlandse handel 2017</w:t>
      </w:r>
    </w:p>
    <w:p>
      <w:pPr>
        <w:pStyle w:val="ListParagraph"/>
        <w:numPr>
          <w:ilvl w:val="0"/>
          <w:numId w:val="2"/>
        </w:numPr>
        <w:rPr>
          <w:rFonts w:ascii="FlandersArtSans-Regular" w:hAnsi="FlandersArtSans-Regular" w:cs="Arial"/>
          <w:sz w:val="20"/>
          <w:szCs w:val="20"/>
          <w:lang w:val="nl-BE"/>
        </w:rPr>
      </w:pPr>
      <w:r>
        <w:rPr>
          <w:rFonts w:ascii="FlandersArtSans-Regular" w:hAnsi="FlandersArtSans-Regular" w:cs="Arial"/>
          <w:sz w:val="20"/>
          <w:szCs w:val="20"/>
          <w:lang w:val="nl-BE"/>
        </w:rPr>
        <w:t xml:space="preserve">In 2017 exporteerde Vlaanderen voor </w:t>
      </w:r>
      <w:r>
        <w:rPr>
          <w:rFonts w:ascii="FlandersArtSans-Regular" w:hAnsi="FlandersArtSans-Regular" w:cs="Arial"/>
          <w:b/>
          <w:sz w:val="20"/>
          <w:szCs w:val="20"/>
          <w:lang w:val="nl-BE"/>
        </w:rPr>
        <w:t>€ 317 miljard</w:t>
      </w:r>
      <w:r>
        <w:rPr>
          <w:rFonts w:ascii="FlandersArtSans-Regular" w:hAnsi="FlandersArtSans-Regular" w:cs="Arial"/>
          <w:sz w:val="20"/>
          <w:szCs w:val="20"/>
          <w:lang w:val="nl-BE"/>
        </w:rPr>
        <w:t xml:space="preserve"> aan goederen, </w:t>
      </w:r>
      <w:r>
        <w:rPr>
          <w:rFonts w:ascii="FlandersArtSans-Regular" w:hAnsi="FlandersArtSans-Regular" w:cs="Arial"/>
          <w:b/>
          <w:sz w:val="20"/>
          <w:szCs w:val="20"/>
          <w:lang w:val="nl-BE"/>
        </w:rPr>
        <w:t>+5%</w:t>
      </w:r>
      <w:r>
        <w:rPr>
          <w:rFonts w:ascii="FlandersArtSans-Regular" w:hAnsi="FlandersArtSans-Regular" w:cs="Arial"/>
          <w:sz w:val="20"/>
          <w:szCs w:val="20"/>
          <w:lang w:val="nl-BE"/>
        </w:rPr>
        <w:t xml:space="preserve"> t.o.v. € 302 miljard in 2016.</w:t>
      </w:r>
    </w:p>
    <w:p>
      <w:pPr>
        <w:pStyle w:val="ListParagraph"/>
        <w:rPr>
          <w:rFonts w:ascii="FlandersArtSans-Regular" w:hAnsi="FlandersArtSans-Regular" w:cs="Arial"/>
          <w:sz w:val="20"/>
          <w:szCs w:val="20"/>
          <w:lang w:val="nl-BE"/>
        </w:rPr>
      </w:pPr>
    </w:p>
    <w:p>
      <w:pPr>
        <w:pStyle w:val="ListParagraph"/>
        <w:numPr>
          <w:ilvl w:val="1"/>
          <w:numId w:val="2"/>
        </w:numPr>
        <w:rPr>
          <w:rFonts w:ascii="FlandersArtSans-Regular" w:hAnsi="FlandersArtSans-Regular" w:cs="Arial"/>
          <w:color w:val="000000" w:themeColor="text1"/>
          <w:sz w:val="20"/>
          <w:szCs w:val="20"/>
          <w:lang w:val="nl-BE"/>
        </w:rPr>
      </w:pPr>
      <w:r>
        <w:rPr>
          <w:rFonts w:ascii="FlandersArtSans-Regular" w:hAnsi="FlandersArtSans-Regular" w:cs="Arial"/>
          <w:color w:val="000000" w:themeColor="text1"/>
          <w:sz w:val="20"/>
          <w:szCs w:val="20"/>
          <w:lang w:val="nl-BE"/>
        </w:rPr>
        <w:t>doorheen 2017 zag het er kwartaal na kwartaal al naar uit dat de Vlaamse jaaruitvoer zou culmineren in een nieuwe recordwaarde en dat was ook zo: € 317 miljard en 5% jaargroei tegenover 2016;</w:t>
      </w:r>
    </w:p>
    <w:p>
      <w:pPr>
        <w:pStyle w:val="ListParagraph"/>
        <w:numPr>
          <w:ilvl w:val="1"/>
          <w:numId w:val="2"/>
        </w:numPr>
        <w:rPr>
          <w:rFonts w:ascii="FlandersArtSans-Regular" w:hAnsi="FlandersArtSans-Regular" w:cs="Arial"/>
          <w:color w:val="000000" w:themeColor="text1"/>
          <w:sz w:val="20"/>
          <w:szCs w:val="20"/>
          <w:lang w:val="nl-BE"/>
        </w:rPr>
      </w:pPr>
      <w:r>
        <w:rPr>
          <w:rFonts w:ascii="FlandersArtSans-Regular" w:hAnsi="FlandersArtSans-Regular" w:cs="Arial"/>
          <w:color w:val="000000" w:themeColor="text1"/>
          <w:sz w:val="20"/>
          <w:szCs w:val="20"/>
          <w:lang w:val="nl-BE"/>
        </w:rPr>
        <w:t>de 5% toename van de Vlaamse export in 2017 lag een stuk hoger dan die in 2016 (+1,33%) en was al de achtste uitvoerstijging op rij en het op 2 na beste exportresultaat van de afgelopen 10 jaar;</w:t>
      </w:r>
    </w:p>
    <w:p>
      <w:pPr>
        <w:pStyle w:val="ListParagraph"/>
        <w:numPr>
          <w:ilvl w:val="1"/>
          <w:numId w:val="2"/>
        </w:numPr>
        <w:rPr>
          <w:rFonts w:ascii="FlandersArtSans-Regular" w:hAnsi="FlandersArtSans-Regular" w:cs="Arial"/>
          <w:color w:val="000000" w:themeColor="text1"/>
          <w:sz w:val="20"/>
          <w:szCs w:val="20"/>
          <w:lang w:val="nl-BE"/>
        </w:rPr>
      </w:pPr>
      <w:r>
        <w:rPr>
          <w:rFonts w:ascii="FlandersArtSans-Regular" w:hAnsi="FlandersArtSans-Regular" w:cs="Arial"/>
          <w:color w:val="000000" w:themeColor="text1"/>
          <w:sz w:val="20"/>
          <w:szCs w:val="20"/>
          <w:lang w:val="nl-BE"/>
        </w:rPr>
        <w:t xml:space="preserve">5% exporttoename in 2017 is uiteraard erg behoorlijk, maar — op het Europese of het wereldniveau — niet uitzonderlijk. </w:t>
      </w:r>
      <w:r>
        <w:rPr>
          <w:rFonts w:ascii="FlandersArtSans-Regular" w:hAnsi="FlandersArtSans-Regular" w:cs="Arial"/>
          <w:sz w:val="20"/>
          <w:szCs w:val="20"/>
          <w:lang w:val="nl-BE"/>
        </w:rPr>
        <w:t xml:space="preserve">Recente Eurostatcijfers ramen het gemiddelde groeipeil van de hele EU-export in 2017 zelfs op 7,53% — met vooral Nederland (+11,8%) en Polen (+11,7%) voorop — en volgens voorlopige WTO-cijfers rond de wereldgoederenhandel maken zelfs gewag van een volle 10% toename van de mondiale export in 2017, het dubbele van de 5% meeruitvoer die Vlaanderen optekende. </w:t>
      </w:r>
      <w:r>
        <w:rPr>
          <w:rFonts w:ascii="FlandersArtSans-Regular" w:hAnsi="FlandersArtSans-Regular" w:cs="Arial"/>
          <w:sz w:val="20"/>
          <w:szCs w:val="20"/>
          <w:lang w:val="nl-BE"/>
        </w:rPr>
        <w:br/>
      </w:r>
    </w:p>
    <w:p>
      <w:pPr>
        <w:pStyle w:val="ListParagraph"/>
        <w:numPr>
          <w:ilvl w:val="0"/>
          <w:numId w:val="2"/>
        </w:numPr>
        <w:rPr>
          <w:rFonts w:cs="Arial"/>
          <w:color w:val="FF0000"/>
          <w:sz w:val="20"/>
          <w:szCs w:val="20"/>
          <w:lang w:val="nl-BE"/>
        </w:rPr>
      </w:pPr>
      <w:r>
        <w:rPr>
          <w:rFonts w:ascii="FlandersArtSans-Regular" w:hAnsi="FlandersArtSans-Regular" w:cs="Arial"/>
          <w:color w:val="000000" w:themeColor="text1"/>
          <w:sz w:val="20"/>
          <w:szCs w:val="20"/>
          <w:lang w:val="nl-BE"/>
        </w:rPr>
        <w:t xml:space="preserve">In de totale Belgische export van 2017 vertegenwoordigde Vlaanderen 83,22%. </w:t>
      </w:r>
      <w:r>
        <w:rPr>
          <w:rFonts w:ascii="FlandersArtSans-Regular" w:eastAsia="Calibri" w:hAnsi="FlandersArtSans-Regular" w:cs="Arial"/>
          <w:color w:val="000000" w:themeColor="text1"/>
          <w:sz w:val="20"/>
          <w:szCs w:val="20"/>
          <w:lang w:val="nl-BE" w:eastAsia="nl-BE"/>
        </w:rPr>
        <w:t xml:space="preserve">De Waalse export was goed voor een aandeel </w:t>
      </w:r>
      <w:r>
        <w:rPr>
          <w:rFonts w:ascii="FlandersArtSans-Regular" w:eastAsia="Calibri" w:hAnsi="FlandersArtSans-Regular" w:cs="Arial"/>
          <w:sz w:val="20"/>
          <w:szCs w:val="20"/>
          <w:lang w:val="nl-BE" w:eastAsia="nl-BE"/>
        </w:rPr>
        <w:t>van 14,24% in de nationale export, de Brusselse voor 2,55%.</w:t>
      </w:r>
      <w:r>
        <w:rPr>
          <w:rFonts w:cs="Arial"/>
          <w:color w:val="FF0000"/>
          <w:sz w:val="20"/>
          <w:szCs w:val="20"/>
          <w:lang w:val="nl-BE"/>
        </w:rPr>
        <w:t xml:space="preserve"> </w:t>
      </w:r>
    </w:p>
    <w:p>
      <w:pPr>
        <w:pStyle w:val="ListParagraph"/>
        <w:rPr>
          <w:rFonts w:cs="Arial"/>
          <w:color w:val="FF0000"/>
          <w:sz w:val="20"/>
          <w:szCs w:val="20"/>
          <w:lang w:val="nl-BE"/>
        </w:rPr>
      </w:pPr>
    </w:p>
    <w:p>
      <w:pPr>
        <w:pStyle w:val="ListParagraph"/>
        <w:numPr>
          <w:ilvl w:val="0"/>
          <w:numId w:val="2"/>
        </w:numPr>
        <w:rPr>
          <w:rFonts w:ascii="FlandersArtSans-Regular" w:hAnsi="FlandersArtSans-Regular" w:cs="Arial"/>
          <w:sz w:val="20"/>
          <w:szCs w:val="20"/>
          <w:lang w:val="nl-BE"/>
        </w:rPr>
      </w:pPr>
      <w:r>
        <w:rPr>
          <w:rFonts w:ascii="FlandersArtSans-Regular" w:hAnsi="FlandersArtSans-Regular" w:cs="Arial"/>
          <w:sz w:val="20"/>
          <w:szCs w:val="20"/>
          <w:lang w:val="nl-BE"/>
        </w:rPr>
        <w:t xml:space="preserve">Het gros van de Vlaamse uitvoer (70,1%) ging in 2017 nog steeds </w:t>
      </w:r>
      <w:r>
        <w:rPr>
          <w:rFonts w:ascii="FlandersArtSans-Regular" w:hAnsi="FlandersArtSans-Regular" w:cs="Arial"/>
          <w:sz w:val="20"/>
          <w:szCs w:val="20"/>
          <w:u w:val="single"/>
          <w:lang w:val="nl-BE"/>
        </w:rPr>
        <w:t>naar de EU-28</w:t>
      </w:r>
      <w:r>
        <w:rPr>
          <w:rFonts w:ascii="FlandersArtSans-Regular" w:hAnsi="FlandersArtSans-Regular" w:cs="Arial"/>
          <w:sz w:val="20"/>
          <w:szCs w:val="20"/>
          <w:lang w:val="nl-BE"/>
        </w:rPr>
        <w:t xml:space="preserve">, waarheen onze intra-communautaire export 4,7% toenam. Alleen al naar onze 5 buurlanden exporteerde Vlaanderen 51,6% van zijn uitvoertotaal. </w:t>
      </w:r>
      <w:r>
        <w:rPr>
          <w:rFonts w:ascii="FlandersArtSans-Regular" w:hAnsi="FlandersArtSans-Regular" w:cs="Arial"/>
          <w:sz w:val="20"/>
          <w:szCs w:val="20"/>
          <w:lang w:val="nl-BE"/>
        </w:rPr>
        <w:br/>
      </w:r>
    </w:p>
    <w:p>
      <w:pPr>
        <w:pStyle w:val="ListParagraph"/>
        <w:numPr>
          <w:ilvl w:val="1"/>
          <w:numId w:val="2"/>
        </w:numPr>
        <w:rPr>
          <w:rFonts w:ascii="FlandersArtSans-Regular" w:hAnsi="FlandersArtSans-Regular" w:cs="Arial"/>
          <w:color w:val="000000" w:themeColor="text1"/>
          <w:sz w:val="20"/>
          <w:szCs w:val="20"/>
          <w:lang w:val="nl-BE"/>
        </w:rPr>
      </w:pPr>
      <w:r>
        <w:rPr>
          <w:rFonts w:ascii="FlandersArtSans-Regular" w:hAnsi="FlandersArtSans-Regular" w:cs="Arial"/>
          <w:color w:val="000000" w:themeColor="text1"/>
          <w:sz w:val="20"/>
          <w:szCs w:val="20"/>
          <w:lang w:val="nl-BE"/>
        </w:rPr>
        <w:t>De export naar Duitsland, exportbestemming nr. 1, steeg met 4,5% en blijft veruit de belangrijkste afzetmarkt met 16,79% aandeel in het exporttotaal.</w:t>
      </w:r>
    </w:p>
    <w:p>
      <w:pPr>
        <w:pStyle w:val="ListParagraph"/>
        <w:numPr>
          <w:ilvl w:val="1"/>
          <w:numId w:val="2"/>
        </w:numPr>
        <w:rPr>
          <w:rFonts w:ascii="FlandersArtSans-Regular" w:hAnsi="FlandersArtSans-Regular" w:cs="Arial"/>
          <w:color w:val="000000" w:themeColor="text1"/>
          <w:sz w:val="20"/>
          <w:szCs w:val="20"/>
          <w:lang w:val="nl-BE"/>
        </w:rPr>
      </w:pPr>
      <w:r>
        <w:rPr>
          <w:rFonts w:ascii="FlandersArtSans-Regular" w:hAnsi="FlandersArtSans-Regular" w:cs="Arial"/>
          <w:color w:val="000000" w:themeColor="text1"/>
          <w:sz w:val="20"/>
          <w:szCs w:val="20"/>
          <w:lang w:val="nl-BE"/>
        </w:rPr>
        <w:t>Na een exportstijging van 13,72%, neemt Nederland in 2017 de plaats van Frankrijk over als 2</w:t>
      </w:r>
      <w:r>
        <w:rPr>
          <w:rFonts w:ascii="FlandersArtSans-Regular" w:hAnsi="FlandersArtSans-Regular" w:cs="Arial"/>
          <w:color w:val="000000" w:themeColor="text1"/>
          <w:sz w:val="20"/>
          <w:szCs w:val="20"/>
          <w:vertAlign w:val="superscript"/>
          <w:lang w:val="nl-BE"/>
        </w:rPr>
        <w:t>de</w:t>
      </w:r>
      <w:r>
        <w:rPr>
          <w:rFonts w:ascii="FlandersArtSans-Regular" w:hAnsi="FlandersArtSans-Regular" w:cs="Arial"/>
          <w:color w:val="000000" w:themeColor="text1"/>
          <w:sz w:val="20"/>
          <w:szCs w:val="20"/>
          <w:lang w:val="nl-BE"/>
        </w:rPr>
        <w:t xml:space="preserve"> exportbestemming.</w:t>
      </w:r>
    </w:p>
    <w:p>
      <w:pPr>
        <w:pStyle w:val="ListParagraph"/>
        <w:numPr>
          <w:ilvl w:val="1"/>
          <w:numId w:val="2"/>
        </w:numPr>
        <w:ind w:left="1434" w:hanging="357"/>
        <w:rPr>
          <w:rFonts w:ascii="FlandersArtSans-Regular" w:hAnsi="FlandersArtSans-Regular" w:cs="Arial"/>
          <w:color w:val="000000" w:themeColor="text1"/>
          <w:sz w:val="20"/>
          <w:szCs w:val="20"/>
          <w:lang w:val="nl-BE"/>
        </w:rPr>
      </w:pPr>
      <w:r>
        <w:rPr>
          <w:rFonts w:ascii="FlandersArtSans-Regular" w:hAnsi="FlandersArtSans-Regular" w:cs="Arial"/>
          <w:color w:val="000000" w:themeColor="text1"/>
          <w:sz w:val="20"/>
          <w:szCs w:val="20"/>
          <w:lang w:val="nl-BE"/>
        </w:rPr>
        <w:t>In de grote EU-markten tekende onze intra-communautaire export enkel mincijfers op in Italië (-1,2%) en in het Verenigd Koninkrijk (-0,4%). Voorlopig lijkt de koersverhouding pond/euro zowat het enige tastbare element van het Brexitproces dat een impact kan hebben op het Vlaamse exportcijfer naar het VK.</w:t>
      </w:r>
    </w:p>
    <w:p>
      <w:pPr>
        <w:pStyle w:val="ListParagraph"/>
        <w:ind w:left="1434"/>
        <w:rPr>
          <w:rFonts w:ascii="FlandersArtSans-Regular" w:hAnsi="FlandersArtSans-Regular" w:cs="Arial"/>
          <w:color w:val="000000" w:themeColor="text1"/>
          <w:sz w:val="20"/>
          <w:szCs w:val="20"/>
          <w:lang w:val="nl-BE"/>
        </w:rPr>
      </w:pPr>
    </w:p>
    <w:p>
      <w:pPr>
        <w:pStyle w:val="ListParagraph"/>
        <w:numPr>
          <w:ilvl w:val="0"/>
          <w:numId w:val="8"/>
        </w:numPr>
        <w:spacing w:line="240" w:lineRule="auto"/>
        <w:rPr>
          <w:rFonts w:ascii="FlandersArtSans-Regular" w:hAnsi="FlandersArtSans-Regular" w:cs="Arial"/>
          <w:sz w:val="20"/>
          <w:szCs w:val="20"/>
          <w:lang w:val="nl-BE"/>
        </w:rPr>
      </w:pPr>
      <w:r>
        <w:rPr>
          <w:rFonts w:ascii="FlandersArtSans-Regular" w:hAnsi="FlandersArtSans-Regular" w:cs="Arial"/>
          <w:sz w:val="20"/>
          <w:szCs w:val="20"/>
          <w:lang w:val="nl-BE"/>
        </w:rPr>
        <w:t xml:space="preserve">Ook aan de </w:t>
      </w:r>
      <w:r>
        <w:rPr>
          <w:rFonts w:ascii="FlandersArtSans-Regular" w:hAnsi="FlandersArtSans-Regular" w:cs="Arial"/>
          <w:b/>
          <w:sz w:val="20"/>
          <w:szCs w:val="20"/>
          <w:lang w:val="nl-BE"/>
        </w:rPr>
        <w:t>importzijde</w:t>
      </w:r>
      <w:r>
        <w:rPr>
          <w:rFonts w:ascii="FlandersArtSans-Regular" w:hAnsi="FlandersArtSans-Regular" w:cs="Arial"/>
          <w:sz w:val="20"/>
          <w:szCs w:val="20"/>
          <w:lang w:val="nl-BE"/>
        </w:rPr>
        <w:t xml:space="preserve"> scoorde de Vlaamse handel nooit hoger: de Vlaamse invoer nam in 2017 toe tot net </w:t>
      </w:r>
      <w:r>
        <w:rPr>
          <w:rFonts w:ascii="FlandersArtSans-Regular" w:hAnsi="FlandersArtSans-Regular" w:cs="Arial"/>
          <w:b/>
          <w:sz w:val="20"/>
          <w:szCs w:val="20"/>
          <w:lang w:val="nl-BE"/>
        </w:rPr>
        <w:t>€ 299 miljard</w:t>
      </w:r>
      <w:r>
        <w:rPr>
          <w:rFonts w:ascii="FlandersArtSans-Regular" w:hAnsi="FlandersArtSans-Regular" w:cs="Arial"/>
          <w:sz w:val="20"/>
          <w:szCs w:val="20"/>
          <w:lang w:val="nl-BE"/>
        </w:rPr>
        <w:t xml:space="preserve">, een bedrag aan buitenlandse inkopen dat </w:t>
      </w:r>
      <w:r>
        <w:rPr>
          <w:rFonts w:ascii="FlandersArtSans-Regular" w:hAnsi="FlandersArtSans-Regular" w:cs="Arial"/>
          <w:b/>
          <w:sz w:val="20"/>
          <w:szCs w:val="20"/>
          <w:lang w:val="nl-BE"/>
        </w:rPr>
        <w:t>3,12% hoger</w:t>
      </w:r>
      <w:r>
        <w:rPr>
          <w:rFonts w:ascii="FlandersArtSans-Regular" w:hAnsi="FlandersArtSans-Regular" w:cs="Arial"/>
          <w:sz w:val="20"/>
          <w:szCs w:val="20"/>
          <w:lang w:val="nl-BE"/>
        </w:rPr>
        <w:t xml:space="preserve"> lag dan in 2016.</w:t>
      </w:r>
    </w:p>
    <w:p>
      <w:pPr>
        <w:pStyle w:val="ListParagraph"/>
        <w:rPr>
          <w:rFonts w:ascii="FlandersArtSans-Regular" w:hAnsi="FlandersArtSans-Regular" w:cs="Arial"/>
          <w:color w:val="000000" w:themeColor="text1"/>
          <w:sz w:val="20"/>
          <w:szCs w:val="20"/>
          <w:lang w:val="nl-BE"/>
        </w:rPr>
      </w:pPr>
    </w:p>
    <w:p>
      <w:pPr>
        <w:ind w:left="1080"/>
        <w:rPr>
          <w:rFonts w:ascii="FlandersArtSans-Regular" w:hAnsi="FlandersArtSans-Regular" w:cs="Arial"/>
          <w:color w:val="000000" w:themeColor="text1"/>
          <w:sz w:val="20"/>
          <w:szCs w:val="20"/>
          <w:lang w:val="nl-BE"/>
        </w:rPr>
      </w:pPr>
      <w:r>
        <w:rPr>
          <w:rFonts w:ascii="FlandersArtSans-Regular" w:hAnsi="FlandersArtSans-Regular" w:cs="Arial"/>
          <w:noProof/>
          <w:color w:val="000000" w:themeColor="text1"/>
          <w:sz w:val="20"/>
          <w:szCs w:val="20"/>
          <w:lang w:val="nl-BE"/>
        </w:rPr>
        <w:lastRenderedPageBreak/>
        <w:drawing>
          <wp:inline distT="0" distB="0" distL="0" distR="0">
            <wp:extent cx="5176800" cy="4010400"/>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6800" cy="4010400"/>
                    </a:xfrm>
                    <a:prstGeom prst="rect">
                      <a:avLst/>
                    </a:prstGeom>
                    <a:noFill/>
                  </pic:spPr>
                </pic:pic>
              </a:graphicData>
            </a:graphic>
          </wp:inline>
        </w:drawing>
      </w:r>
    </w:p>
    <w:p>
      <w:pPr>
        <w:pStyle w:val="ListParagraph"/>
        <w:numPr>
          <w:ilvl w:val="0"/>
          <w:numId w:val="3"/>
        </w:numPr>
        <w:rPr>
          <w:rFonts w:ascii="FlandersArtSans-Regular" w:hAnsi="FlandersArtSans-Regular" w:cs="Arial"/>
          <w:sz w:val="20"/>
          <w:szCs w:val="20"/>
          <w:lang w:val="nl-BE"/>
        </w:rPr>
      </w:pPr>
      <w:r>
        <w:rPr>
          <w:rFonts w:ascii="FlandersArtSans-Regular" w:hAnsi="FlandersArtSans-Regular" w:cs="Arial"/>
          <w:sz w:val="20"/>
          <w:szCs w:val="20"/>
          <w:u w:val="single"/>
          <w:lang w:val="nl-BE"/>
        </w:rPr>
        <w:t>Buiten de EU-28</w:t>
      </w:r>
      <w:r>
        <w:rPr>
          <w:rFonts w:ascii="FlandersArtSans-Regular" w:hAnsi="FlandersArtSans-Regular" w:cs="Arial"/>
          <w:sz w:val="20"/>
          <w:szCs w:val="20"/>
          <w:lang w:val="nl-BE"/>
        </w:rPr>
        <w:t xml:space="preserve"> boekte de Vlaamse export in 2017 een iets hogere toename (+5,6%) dan het gemiddelde exportverloop (+5%).</w:t>
      </w:r>
    </w:p>
    <w:p>
      <w:pPr>
        <w:pStyle w:val="ListParagraph"/>
        <w:rPr>
          <w:rFonts w:cs="Arial"/>
          <w:sz w:val="20"/>
          <w:szCs w:val="20"/>
          <w:lang w:val="nl-BE"/>
        </w:rPr>
      </w:pPr>
    </w:p>
    <w:p>
      <w:pPr>
        <w:pStyle w:val="ListParagraph"/>
        <w:numPr>
          <w:ilvl w:val="1"/>
          <w:numId w:val="3"/>
        </w:numPr>
        <w:spacing w:after="0"/>
        <w:ind w:left="1434" w:hanging="357"/>
        <w:rPr>
          <w:rFonts w:cs="Arial"/>
          <w:sz w:val="20"/>
          <w:szCs w:val="20"/>
          <w:lang w:val="nl-BE"/>
        </w:rPr>
      </w:pPr>
      <w:r>
        <w:rPr>
          <w:rFonts w:ascii="FlandersArtSans-Regular" w:eastAsia="Times New Roman" w:hAnsi="FlandersArtSans-Regular" w:cs="Tahoma"/>
          <w:sz w:val="20"/>
          <w:szCs w:val="20"/>
          <w:lang w:val="nl-NL"/>
        </w:rPr>
        <w:t xml:space="preserve">De </w:t>
      </w:r>
      <w:r>
        <w:rPr>
          <w:rFonts w:ascii="FlandersArtSans-Regular" w:eastAsia="Times New Roman" w:hAnsi="FlandersArtSans-Regular" w:cs="Tahoma"/>
          <w:b/>
          <w:sz w:val="20"/>
          <w:szCs w:val="20"/>
          <w:lang w:val="nl-NL"/>
        </w:rPr>
        <w:t>Europese markten buiten de EU</w:t>
      </w:r>
      <w:r>
        <w:rPr>
          <w:rFonts w:ascii="FlandersArtSans-Regular" w:eastAsia="Times New Roman" w:hAnsi="FlandersArtSans-Regular" w:cs="Tahoma"/>
          <w:sz w:val="20"/>
          <w:szCs w:val="20"/>
          <w:lang w:val="nl-NL"/>
        </w:rPr>
        <w:t xml:space="preserve"> kregen, globaal gezien, 2,6 miljard euro meer Vlaamse uitvoer binnen (+17,6%), dank zij de fraaie exportresultaten bij de 3 grootste markten daar, m.n. </w:t>
      </w:r>
      <w:r>
        <w:rPr>
          <w:rFonts w:ascii="FlandersArtSans-Regular" w:eastAsia="Times New Roman" w:hAnsi="FlandersArtSans-Regular" w:cs="Tahoma"/>
          <w:b/>
          <w:sz w:val="20"/>
          <w:szCs w:val="20"/>
          <w:lang w:val="nl-NL"/>
        </w:rPr>
        <w:t xml:space="preserve">Zwitserland </w:t>
      </w:r>
      <w:r>
        <w:rPr>
          <w:rFonts w:ascii="FlandersArtSans-Regular" w:eastAsia="Times New Roman" w:hAnsi="FlandersArtSans-Regular" w:cs="Tahoma"/>
          <w:sz w:val="20"/>
          <w:szCs w:val="20"/>
          <w:lang w:val="nl-NL"/>
        </w:rPr>
        <w:t xml:space="preserve">(+22,2%), </w:t>
      </w:r>
      <w:r>
        <w:rPr>
          <w:rFonts w:ascii="FlandersArtSans-Regular" w:eastAsia="Times New Roman" w:hAnsi="FlandersArtSans-Regular" w:cs="Tahoma"/>
          <w:b/>
          <w:sz w:val="20"/>
          <w:szCs w:val="20"/>
          <w:lang w:val="nl-NL"/>
        </w:rPr>
        <w:t>Turkije</w:t>
      </w:r>
      <w:r>
        <w:rPr>
          <w:rFonts w:ascii="FlandersArtSans-Regular" w:eastAsia="Times New Roman" w:hAnsi="FlandersArtSans-Regular" w:cs="Tahoma"/>
          <w:sz w:val="20"/>
          <w:szCs w:val="20"/>
          <w:lang w:val="nl-NL"/>
        </w:rPr>
        <w:t xml:space="preserve"> (+18,9%), maar ook </w:t>
      </w:r>
      <w:r>
        <w:rPr>
          <w:rFonts w:ascii="FlandersArtSans-Regular" w:eastAsia="Times New Roman" w:hAnsi="FlandersArtSans-Regular" w:cs="Tahoma"/>
          <w:b/>
          <w:sz w:val="20"/>
          <w:szCs w:val="20"/>
          <w:lang w:val="nl-NL"/>
        </w:rPr>
        <w:t xml:space="preserve">Rusland </w:t>
      </w:r>
      <w:r>
        <w:rPr>
          <w:rFonts w:ascii="FlandersArtSans-Regular" w:eastAsia="Times New Roman" w:hAnsi="FlandersArtSans-Regular" w:cs="Tahoma"/>
          <w:sz w:val="20"/>
          <w:szCs w:val="20"/>
          <w:lang w:val="nl-NL"/>
        </w:rPr>
        <w:t xml:space="preserve">(+11%). </w:t>
      </w:r>
    </w:p>
    <w:p>
      <w:pPr>
        <w:pStyle w:val="ListParagraph"/>
        <w:numPr>
          <w:ilvl w:val="1"/>
          <w:numId w:val="3"/>
        </w:numPr>
        <w:rPr>
          <w:rFonts w:cs="Arial"/>
          <w:sz w:val="20"/>
          <w:szCs w:val="20"/>
          <w:lang w:val="nl-BE"/>
        </w:rPr>
      </w:pPr>
      <w:r>
        <w:rPr>
          <w:rFonts w:ascii="FlandersArtSans-Regular" w:hAnsi="FlandersArtSans-Regular"/>
          <w:sz w:val="20"/>
          <w:szCs w:val="20"/>
          <w:lang w:val="nl-BE"/>
        </w:rPr>
        <w:t xml:space="preserve">In 2017 kon de Vlaamse export ook iets betere exportresultaten voorleggen op het </w:t>
      </w:r>
      <w:r>
        <w:rPr>
          <w:rFonts w:ascii="FlandersArtSans-Regular" w:hAnsi="FlandersArtSans-Regular"/>
          <w:b/>
          <w:sz w:val="20"/>
          <w:szCs w:val="20"/>
          <w:lang w:val="nl-BE"/>
        </w:rPr>
        <w:t xml:space="preserve">Aziatische continent </w:t>
      </w:r>
      <w:r>
        <w:rPr>
          <w:rFonts w:ascii="FlandersArtSans-Regular" w:hAnsi="FlandersArtSans-Regular"/>
          <w:sz w:val="20"/>
          <w:szCs w:val="20"/>
          <w:lang w:val="nl-BE"/>
        </w:rPr>
        <w:t>(+3,7%).</w:t>
      </w:r>
      <w:r>
        <w:rPr>
          <w:rFonts w:cs="Arial"/>
          <w:sz w:val="20"/>
          <w:szCs w:val="20"/>
          <w:lang w:val="nl-BE"/>
        </w:rPr>
        <w:t xml:space="preserve"> </w:t>
      </w:r>
      <w:r>
        <w:rPr>
          <w:rFonts w:ascii="FlandersArtSans-Regular" w:hAnsi="FlandersArtSans-Regular"/>
          <w:sz w:val="20"/>
          <w:szCs w:val="20"/>
          <w:lang w:val="nl-BE"/>
        </w:rPr>
        <w:t xml:space="preserve">Behalve naar </w:t>
      </w:r>
      <w:r>
        <w:rPr>
          <w:rFonts w:ascii="FlandersArtSans-Regular" w:hAnsi="FlandersArtSans-Regular"/>
          <w:b/>
          <w:sz w:val="20"/>
          <w:szCs w:val="20"/>
          <w:lang w:val="nl-BE"/>
        </w:rPr>
        <w:t>China</w:t>
      </w:r>
      <w:r>
        <w:rPr>
          <w:rFonts w:ascii="FlandersArtSans-Regular" w:hAnsi="FlandersArtSans-Regular"/>
          <w:sz w:val="20"/>
          <w:szCs w:val="20"/>
          <w:lang w:val="nl-BE"/>
        </w:rPr>
        <w:t xml:space="preserve"> (+15,6%) waren er ook mooie exportcijfers</w:t>
      </w:r>
      <w:r>
        <w:rPr>
          <w:rFonts w:ascii="FlandersArtSans-Regular" w:hAnsi="FlandersArtSans-Regular"/>
          <w:b/>
          <w:sz w:val="20"/>
          <w:szCs w:val="20"/>
          <w:lang w:val="nl-BE"/>
        </w:rPr>
        <w:t xml:space="preserve"> </w:t>
      </w:r>
      <w:r>
        <w:rPr>
          <w:rFonts w:ascii="FlandersArtSans-Regular" w:hAnsi="FlandersArtSans-Regular"/>
          <w:sz w:val="20"/>
          <w:szCs w:val="20"/>
          <w:lang w:val="nl-BE"/>
        </w:rPr>
        <w:t>richting</w:t>
      </w:r>
      <w:r>
        <w:rPr>
          <w:rFonts w:ascii="FlandersArtSans-Regular" w:hAnsi="FlandersArtSans-Regular"/>
          <w:b/>
          <w:sz w:val="20"/>
          <w:szCs w:val="20"/>
          <w:lang w:val="nl-BE"/>
        </w:rPr>
        <w:t xml:space="preserve"> Zuid-Korea</w:t>
      </w:r>
      <w:r>
        <w:rPr>
          <w:rFonts w:ascii="FlandersArtSans-Regular" w:hAnsi="FlandersArtSans-Regular"/>
          <w:sz w:val="20"/>
          <w:szCs w:val="20"/>
          <w:lang w:val="nl-BE"/>
        </w:rPr>
        <w:t xml:space="preserve"> (+7,0%), </w:t>
      </w:r>
      <w:r>
        <w:rPr>
          <w:rFonts w:ascii="FlandersArtSans-Regular" w:hAnsi="FlandersArtSans-Regular"/>
          <w:b/>
          <w:sz w:val="20"/>
          <w:szCs w:val="20"/>
          <w:lang w:val="nl-BE"/>
        </w:rPr>
        <w:t>Thailand</w:t>
      </w:r>
      <w:r>
        <w:rPr>
          <w:rFonts w:ascii="FlandersArtSans-Regular" w:hAnsi="FlandersArtSans-Regular"/>
          <w:sz w:val="20"/>
          <w:szCs w:val="20"/>
          <w:lang w:val="nl-BE"/>
        </w:rPr>
        <w:t xml:space="preserve"> (+14,5%),</w:t>
      </w:r>
      <w:r>
        <w:rPr>
          <w:rFonts w:ascii="FlandersArtSans-Regular" w:hAnsi="FlandersArtSans-Regular"/>
          <w:color w:val="FF0000"/>
          <w:sz w:val="20"/>
          <w:szCs w:val="20"/>
          <w:lang w:val="nl-BE"/>
        </w:rPr>
        <w:t xml:space="preserve"> </w:t>
      </w:r>
      <w:r>
        <w:rPr>
          <w:rFonts w:ascii="FlandersArtSans-Regular" w:hAnsi="FlandersArtSans-Regular"/>
          <w:b/>
          <w:sz w:val="20"/>
          <w:szCs w:val="20"/>
          <w:lang w:val="nl-BE"/>
        </w:rPr>
        <w:t>Taiwan</w:t>
      </w:r>
      <w:r>
        <w:rPr>
          <w:rFonts w:ascii="FlandersArtSans-Regular" w:hAnsi="FlandersArtSans-Regular"/>
          <w:sz w:val="20"/>
          <w:szCs w:val="20"/>
          <w:lang w:val="nl-BE"/>
        </w:rPr>
        <w:t xml:space="preserve"> (+12,5%), </w:t>
      </w:r>
      <w:r>
        <w:rPr>
          <w:rFonts w:ascii="FlandersArtSans-Regular" w:hAnsi="FlandersArtSans-Regular"/>
          <w:b/>
          <w:sz w:val="20"/>
          <w:szCs w:val="20"/>
          <w:lang w:val="nl-BE"/>
        </w:rPr>
        <w:t>Vietnam</w:t>
      </w:r>
      <w:r>
        <w:rPr>
          <w:rFonts w:ascii="FlandersArtSans-Regular" w:hAnsi="FlandersArtSans-Regular"/>
          <w:sz w:val="20"/>
          <w:szCs w:val="20"/>
          <w:lang w:val="nl-BE"/>
        </w:rPr>
        <w:t xml:space="preserve"> (+22,6%, met stijgingen over zowat alle sectoren heen) en de </w:t>
      </w:r>
      <w:r>
        <w:rPr>
          <w:rFonts w:ascii="FlandersArtSans-Regular" w:hAnsi="FlandersArtSans-Regular"/>
          <w:b/>
          <w:sz w:val="20"/>
          <w:szCs w:val="20"/>
          <w:lang w:val="nl-BE"/>
        </w:rPr>
        <w:t xml:space="preserve">Filipijnen </w:t>
      </w:r>
      <w:r>
        <w:rPr>
          <w:rFonts w:ascii="FlandersArtSans-Regular" w:hAnsi="FlandersArtSans-Regular"/>
          <w:sz w:val="20"/>
          <w:szCs w:val="20"/>
          <w:lang w:val="nl-BE"/>
        </w:rPr>
        <w:t>(+18,3%).</w:t>
      </w:r>
    </w:p>
    <w:p>
      <w:pPr>
        <w:pStyle w:val="ListParagraph"/>
        <w:numPr>
          <w:ilvl w:val="1"/>
          <w:numId w:val="3"/>
        </w:numPr>
        <w:rPr>
          <w:rFonts w:cs="Arial"/>
          <w:sz w:val="20"/>
          <w:szCs w:val="20"/>
          <w:lang w:val="nl-BE"/>
        </w:rPr>
      </w:pPr>
      <w:r>
        <w:rPr>
          <w:rFonts w:ascii="FlandersArtSans-Regular" w:hAnsi="FlandersArtSans-Regular"/>
          <w:sz w:val="20"/>
          <w:szCs w:val="20"/>
          <w:lang w:val="nl-BE"/>
        </w:rPr>
        <w:t xml:space="preserve">Ook in het </w:t>
      </w:r>
      <w:r>
        <w:rPr>
          <w:rFonts w:ascii="FlandersArtSans-Regular" w:hAnsi="FlandersArtSans-Regular"/>
          <w:b/>
          <w:sz w:val="20"/>
          <w:szCs w:val="20"/>
          <w:lang w:val="nl-BE"/>
        </w:rPr>
        <w:t>Midden-Oosten</w:t>
      </w:r>
      <w:r>
        <w:rPr>
          <w:rFonts w:ascii="FlandersArtSans-Regular" w:hAnsi="FlandersArtSans-Regular"/>
          <w:sz w:val="20"/>
          <w:szCs w:val="20"/>
          <w:lang w:val="nl-BE"/>
        </w:rPr>
        <w:t xml:space="preserve"> (+4,6%) ging onze export vooruit: gangmakers in de regio waren vooral de </w:t>
      </w:r>
      <w:r>
        <w:rPr>
          <w:rFonts w:ascii="FlandersArtSans-Regular" w:hAnsi="FlandersArtSans-Regular"/>
          <w:b/>
          <w:sz w:val="20"/>
          <w:szCs w:val="20"/>
          <w:lang w:val="nl-BE"/>
        </w:rPr>
        <w:t xml:space="preserve">Verenigde Arabische Emiraten </w:t>
      </w:r>
      <w:r>
        <w:rPr>
          <w:rFonts w:ascii="FlandersArtSans-Regular" w:hAnsi="FlandersArtSans-Regular"/>
          <w:sz w:val="20"/>
          <w:szCs w:val="20"/>
          <w:lang w:val="nl-BE"/>
        </w:rPr>
        <w:t xml:space="preserve">(+4,1%), </w:t>
      </w:r>
      <w:r>
        <w:rPr>
          <w:rFonts w:ascii="FlandersArtSans-Regular" w:hAnsi="FlandersArtSans-Regular"/>
          <w:b/>
          <w:sz w:val="20"/>
          <w:szCs w:val="20"/>
          <w:lang w:val="nl-BE"/>
        </w:rPr>
        <w:t>Saoedi-Arabië</w:t>
      </w:r>
      <w:r>
        <w:rPr>
          <w:rFonts w:ascii="FlandersArtSans-Regular" w:hAnsi="FlandersArtSans-Regular"/>
          <w:sz w:val="20"/>
          <w:szCs w:val="20"/>
          <w:lang w:val="nl-BE"/>
        </w:rPr>
        <w:t xml:space="preserve"> (+4,8%), </w:t>
      </w:r>
      <w:r>
        <w:rPr>
          <w:rFonts w:ascii="FlandersArtSans-Regular" w:hAnsi="FlandersArtSans-Regular"/>
          <w:b/>
          <w:sz w:val="20"/>
          <w:szCs w:val="20"/>
          <w:lang w:val="nl-BE"/>
        </w:rPr>
        <w:t>Iran</w:t>
      </w:r>
      <w:r>
        <w:rPr>
          <w:rFonts w:ascii="FlandersArtSans-Regular" w:hAnsi="FlandersArtSans-Regular"/>
          <w:sz w:val="20"/>
          <w:szCs w:val="20"/>
          <w:lang w:val="nl-BE"/>
        </w:rPr>
        <w:t xml:space="preserve"> (+22,2%) en </w:t>
      </w:r>
      <w:r>
        <w:rPr>
          <w:rFonts w:ascii="FlandersArtSans-Regular" w:hAnsi="FlandersArtSans-Regular"/>
          <w:b/>
          <w:sz w:val="20"/>
          <w:szCs w:val="20"/>
          <w:lang w:val="nl-BE"/>
        </w:rPr>
        <w:t>Qatar</w:t>
      </w:r>
      <w:r>
        <w:rPr>
          <w:rFonts w:ascii="FlandersArtSans-Regular" w:hAnsi="FlandersArtSans-Regular"/>
          <w:sz w:val="20"/>
          <w:szCs w:val="20"/>
          <w:lang w:val="nl-BE"/>
        </w:rPr>
        <w:t xml:space="preserve"> (+23%). </w:t>
      </w:r>
    </w:p>
    <w:p>
      <w:pPr>
        <w:pStyle w:val="ListParagraph"/>
        <w:numPr>
          <w:ilvl w:val="1"/>
          <w:numId w:val="3"/>
        </w:numPr>
        <w:rPr>
          <w:rFonts w:cs="Arial"/>
          <w:sz w:val="20"/>
          <w:szCs w:val="20"/>
          <w:lang w:val="nl-BE"/>
        </w:rPr>
      </w:pPr>
      <w:r>
        <w:rPr>
          <w:rFonts w:ascii="FlandersArtSans-Regular" w:hAnsi="FlandersArtSans-Regular"/>
          <w:sz w:val="20"/>
          <w:szCs w:val="20"/>
          <w:lang w:val="nl-BE"/>
        </w:rPr>
        <w:t xml:space="preserve">In 2017 steeg onze export van alle continenten nog het sterkst in </w:t>
      </w:r>
      <w:r>
        <w:rPr>
          <w:rFonts w:ascii="FlandersArtSans-Regular" w:hAnsi="FlandersArtSans-Regular"/>
          <w:b/>
          <w:sz w:val="20"/>
          <w:szCs w:val="20"/>
          <w:lang w:val="nl-BE"/>
        </w:rPr>
        <w:t xml:space="preserve">Afrika </w:t>
      </w:r>
      <w:r>
        <w:rPr>
          <w:rFonts w:ascii="FlandersArtSans-Regular" w:hAnsi="FlandersArtSans-Regular"/>
          <w:sz w:val="20"/>
          <w:szCs w:val="20"/>
          <w:lang w:val="nl-BE"/>
        </w:rPr>
        <w:t>(+13%).</w:t>
      </w:r>
      <w:r>
        <w:rPr>
          <w:rFonts w:cs="Arial"/>
          <w:color w:val="FF0000"/>
          <w:sz w:val="20"/>
          <w:szCs w:val="20"/>
          <w:lang w:val="nl-BE"/>
        </w:rPr>
        <w:t xml:space="preserve"> </w:t>
      </w:r>
      <w:r>
        <w:rPr>
          <w:rFonts w:ascii="FlandersArtSans-Regular" w:hAnsi="FlandersArtSans-Regular"/>
          <w:sz w:val="20"/>
          <w:szCs w:val="20"/>
          <w:lang w:val="nl-BE"/>
        </w:rPr>
        <w:t xml:space="preserve">Vooral in </w:t>
      </w:r>
      <w:r>
        <w:rPr>
          <w:rFonts w:ascii="FlandersArtSans-Regular" w:hAnsi="FlandersArtSans-Regular"/>
          <w:b/>
          <w:sz w:val="20"/>
          <w:szCs w:val="20"/>
          <w:lang w:val="nl-BE"/>
        </w:rPr>
        <w:t>Sub-Saharaans Afrika</w:t>
      </w:r>
      <w:r>
        <w:rPr>
          <w:rFonts w:ascii="FlandersArtSans-Regular" w:hAnsi="FlandersArtSans-Regular"/>
          <w:b/>
          <w:i/>
          <w:sz w:val="20"/>
          <w:szCs w:val="20"/>
          <w:lang w:val="nl-BE"/>
        </w:rPr>
        <w:t xml:space="preserve"> </w:t>
      </w:r>
      <w:r>
        <w:rPr>
          <w:rFonts w:ascii="FlandersArtSans-Regular" w:hAnsi="FlandersArtSans-Regular"/>
          <w:sz w:val="20"/>
          <w:szCs w:val="20"/>
          <w:lang w:val="nl-BE"/>
        </w:rPr>
        <w:t xml:space="preserve">ging het behoorlijk hard, met een stijgingspercentage van 15,6%. </w:t>
      </w:r>
      <w:r>
        <w:rPr>
          <w:rFonts w:ascii="FlandersArtSans-Regular" w:hAnsi="FlandersArtSans-Regular"/>
          <w:b/>
          <w:sz w:val="20"/>
          <w:szCs w:val="20"/>
          <w:lang w:val="nl-BE"/>
        </w:rPr>
        <w:t>Nigeria</w:t>
      </w:r>
      <w:r>
        <w:rPr>
          <w:rFonts w:ascii="FlandersArtSans-Regular" w:hAnsi="FlandersArtSans-Regular"/>
          <w:sz w:val="20"/>
          <w:szCs w:val="20"/>
          <w:lang w:val="nl-BE"/>
        </w:rPr>
        <w:t xml:space="preserve"> (+32%) was er de belangrijkste stijger (+32,6%).</w:t>
      </w:r>
    </w:p>
    <w:p>
      <w:pPr>
        <w:pStyle w:val="ListParagraph"/>
        <w:numPr>
          <w:ilvl w:val="1"/>
          <w:numId w:val="3"/>
        </w:numPr>
        <w:rPr>
          <w:rFonts w:cs="Arial"/>
          <w:sz w:val="20"/>
          <w:szCs w:val="20"/>
          <w:lang w:val="nl-BE"/>
        </w:rPr>
      </w:pPr>
      <w:r>
        <w:rPr>
          <w:rFonts w:ascii="FlandersArtSans-Regular" w:hAnsi="FlandersArtSans-Regular"/>
          <w:sz w:val="20"/>
          <w:szCs w:val="20"/>
          <w:lang w:val="nl-BE"/>
        </w:rPr>
        <w:t xml:space="preserve">De exportafzet in </w:t>
      </w:r>
      <w:r>
        <w:rPr>
          <w:rFonts w:ascii="FlandersArtSans-Regular" w:hAnsi="FlandersArtSans-Regular"/>
          <w:b/>
          <w:sz w:val="20"/>
          <w:szCs w:val="20"/>
          <w:lang w:val="nl-BE"/>
        </w:rPr>
        <w:t>Oceanië</w:t>
      </w:r>
      <w:r>
        <w:rPr>
          <w:rFonts w:ascii="FlandersArtSans-Regular" w:hAnsi="FlandersArtSans-Regular"/>
          <w:sz w:val="20"/>
          <w:szCs w:val="20"/>
          <w:lang w:val="nl-BE"/>
        </w:rPr>
        <w:t xml:space="preserve"> nam eveneens toe (+4,2%), met 3,47% meer verkoop in </w:t>
      </w:r>
      <w:r>
        <w:rPr>
          <w:rFonts w:ascii="FlandersArtSans-Regular" w:hAnsi="FlandersArtSans-Regular"/>
          <w:b/>
          <w:sz w:val="20"/>
          <w:szCs w:val="20"/>
          <w:lang w:val="nl-BE"/>
        </w:rPr>
        <w:t>Australië</w:t>
      </w:r>
      <w:r>
        <w:rPr>
          <w:rFonts w:ascii="FlandersArtSans-Regular" w:hAnsi="FlandersArtSans-Regular"/>
          <w:sz w:val="20"/>
          <w:szCs w:val="20"/>
          <w:lang w:val="nl-BE"/>
        </w:rPr>
        <w:t xml:space="preserve"> en zelfs 12,7% in </w:t>
      </w:r>
      <w:r>
        <w:rPr>
          <w:rFonts w:ascii="FlandersArtSans-Regular" w:hAnsi="FlandersArtSans-Regular"/>
          <w:b/>
          <w:sz w:val="20"/>
          <w:szCs w:val="20"/>
          <w:lang w:val="nl-BE"/>
        </w:rPr>
        <w:t>Nieuw-Zeeland</w:t>
      </w:r>
      <w:r>
        <w:rPr>
          <w:rFonts w:ascii="FlandersArtSans-Regular" w:hAnsi="FlandersArtSans-Regular"/>
          <w:sz w:val="20"/>
          <w:szCs w:val="20"/>
          <w:lang w:val="nl-BE"/>
        </w:rPr>
        <w:t>.</w:t>
      </w:r>
    </w:p>
    <w:p>
      <w:pPr>
        <w:pStyle w:val="ListParagraph"/>
        <w:numPr>
          <w:ilvl w:val="1"/>
          <w:numId w:val="3"/>
        </w:numPr>
        <w:rPr>
          <w:rFonts w:cs="Arial"/>
          <w:sz w:val="20"/>
          <w:szCs w:val="20"/>
          <w:lang w:val="nl-BE"/>
        </w:rPr>
      </w:pPr>
      <w:r>
        <w:rPr>
          <w:rFonts w:ascii="FlandersArtSans-Regular" w:eastAsia="Times New Roman" w:hAnsi="FlandersArtSans-Regular" w:cs="Tahoma"/>
          <w:sz w:val="20"/>
          <w:szCs w:val="20"/>
          <w:lang w:val="nl-NL"/>
        </w:rPr>
        <w:t xml:space="preserve">In 2017 was </w:t>
      </w:r>
      <w:r>
        <w:rPr>
          <w:rFonts w:ascii="FlandersArtSans-Regular" w:eastAsia="Times New Roman" w:hAnsi="FlandersArtSans-Regular" w:cs="Tahoma"/>
          <w:b/>
          <w:sz w:val="20"/>
          <w:szCs w:val="20"/>
          <w:lang w:val="nl-NL"/>
        </w:rPr>
        <w:t>Amerika</w:t>
      </w:r>
      <w:r>
        <w:rPr>
          <w:rFonts w:ascii="FlandersArtSans-Regular" w:eastAsia="Times New Roman" w:hAnsi="FlandersArtSans-Regular" w:cs="Tahoma"/>
          <w:sz w:val="20"/>
          <w:szCs w:val="20"/>
          <w:lang w:val="nl-NL"/>
        </w:rPr>
        <w:t xml:space="preserve"> (-4,6%) het enige continent waar de Vlaamse jaarexport rode cijfers liet noteren. Verder inzoomend bleek dat </w:t>
      </w:r>
      <w:r>
        <w:rPr>
          <w:rFonts w:ascii="FlandersArtSans-Regular" w:hAnsi="FlandersArtSans-Regular"/>
          <w:sz w:val="20"/>
          <w:szCs w:val="20"/>
          <w:lang w:val="nl-BE"/>
        </w:rPr>
        <w:t xml:space="preserve">in </w:t>
      </w:r>
      <w:r>
        <w:rPr>
          <w:rFonts w:ascii="FlandersArtSans-Regular" w:hAnsi="FlandersArtSans-Regular"/>
          <w:b/>
          <w:sz w:val="20"/>
          <w:szCs w:val="20"/>
          <w:lang w:val="nl-BE"/>
        </w:rPr>
        <w:t>Noord-Amerika</w:t>
      </w:r>
      <w:r>
        <w:rPr>
          <w:rFonts w:ascii="FlandersArtSans-Regular" w:hAnsi="FlandersArtSans-Regular"/>
          <w:sz w:val="20"/>
          <w:szCs w:val="20"/>
          <w:lang w:val="nl-BE"/>
        </w:rPr>
        <w:t xml:space="preserve"> (-10,5%)</w:t>
      </w:r>
      <w:r>
        <w:rPr>
          <w:rFonts w:ascii="FlandersArtSans-Regular" w:hAnsi="FlandersArtSans-Regular"/>
          <w:b/>
          <w:sz w:val="20"/>
          <w:szCs w:val="20"/>
          <w:lang w:val="nl-BE"/>
        </w:rPr>
        <w:t xml:space="preserve"> </w:t>
      </w:r>
      <w:r>
        <w:rPr>
          <w:rFonts w:ascii="FlandersArtSans-Regular" w:hAnsi="FlandersArtSans-Regular"/>
          <w:sz w:val="20"/>
          <w:szCs w:val="20"/>
          <w:lang w:val="nl-BE"/>
        </w:rPr>
        <w:t>de export nog een heel stuk verder was teruggelopen dan dat continentale gemiddelde.</w:t>
      </w:r>
      <w:r>
        <w:rPr>
          <w:rFonts w:ascii="FlandersArtSans-Regular" w:hAnsi="FlandersArtSans-Regular"/>
          <w:b/>
          <w:sz w:val="20"/>
          <w:szCs w:val="20"/>
          <w:lang w:val="nl-BE"/>
        </w:rPr>
        <w:t xml:space="preserve"> </w:t>
      </w:r>
      <w:r>
        <w:rPr>
          <w:rFonts w:ascii="FlandersArtSans-Regular" w:hAnsi="FlandersArtSans-Regular"/>
          <w:sz w:val="20"/>
          <w:szCs w:val="20"/>
          <w:lang w:val="nl-BE"/>
        </w:rPr>
        <w:t xml:space="preserve">Naar de </w:t>
      </w:r>
      <w:r>
        <w:rPr>
          <w:rFonts w:ascii="FlandersArtSans-Regular" w:hAnsi="FlandersArtSans-Regular"/>
          <w:b/>
          <w:sz w:val="20"/>
          <w:szCs w:val="20"/>
          <w:lang w:val="nl-BE"/>
        </w:rPr>
        <w:t>Verenigde Staten</w:t>
      </w:r>
      <w:r>
        <w:rPr>
          <w:rFonts w:ascii="FlandersArtSans-Regular" w:hAnsi="FlandersArtSans-Regular"/>
          <w:sz w:val="20"/>
          <w:szCs w:val="20"/>
          <w:lang w:val="nl-BE"/>
        </w:rPr>
        <w:t xml:space="preserve"> kreeg onze jaaruitvoer dan ook een knauw van maar liefst 13,9% of welgeteld 2,46 miljard euro minder dan in 2016.</w:t>
      </w:r>
      <w:r>
        <w:rPr>
          <w:rFonts w:ascii="FlandersArtSans-Regular" w:hAnsi="FlandersArtSans-Regular"/>
          <w:color w:val="FF0000"/>
          <w:sz w:val="20"/>
          <w:szCs w:val="20"/>
          <w:lang w:val="nl-BE"/>
        </w:rPr>
        <w:t xml:space="preserve"> </w:t>
      </w:r>
      <w:r>
        <w:rPr>
          <w:rFonts w:ascii="FlandersArtSans-Regular" w:hAnsi="FlandersArtSans-Regular"/>
          <w:sz w:val="20"/>
          <w:szCs w:val="20"/>
          <w:lang w:val="nl-BE"/>
        </w:rPr>
        <w:t xml:space="preserve">Megaverliezen vielen er bij </w:t>
      </w:r>
      <w:r>
        <w:rPr>
          <w:rFonts w:ascii="FlandersArtSans-Regular" w:hAnsi="FlandersArtSans-Regular"/>
          <w:i/>
          <w:sz w:val="20"/>
          <w:szCs w:val="20"/>
          <w:lang w:val="nl-BE"/>
        </w:rPr>
        <w:t>organische chemie</w:t>
      </w:r>
      <w:r>
        <w:rPr>
          <w:rFonts w:ascii="FlandersArtSans-Regular" w:hAnsi="FlandersArtSans-Regular"/>
          <w:sz w:val="20"/>
          <w:szCs w:val="20"/>
          <w:lang w:val="nl-BE"/>
        </w:rPr>
        <w:t xml:space="preserve"> (-44%; min anderhalf miljard euro) en bij </w:t>
      </w:r>
      <w:r>
        <w:rPr>
          <w:rFonts w:ascii="FlandersArtSans-Regular" w:hAnsi="FlandersArtSans-Regular"/>
          <w:i/>
          <w:sz w:val="20"/>
          <w:szCs w:val="20"/>
          <w:lang w:val="nl-BE"/>
        </w:rPr>
        <w:t>farma</w:t>
      </w:r>
      <w:r>
        <w:rPr>
          <w:rFonts w:ascii="FlandersArtSans-Regular" w:hAnsi="FlandersArtSans-Regular"/>
          <w:sz w:val="20"/>
          <w:szCs w:val="20"/>
          <w:lang w:val="nl-BE"/>
        </w:rPr>
        <w:t xml:space="preserve"> (-21,7%; ook al meer dan een miljard euro achteruit). Een pak beter verging het onze exporthandel met </w:t>
      </w:r>
      <w:r>
        <w:rPr>
          <w:rFonts w:ascii="FlandersArtSans-Regular" w:hAnsi="FlandersArtSans-Regular"/>
          <w:b/>
          <w:sz w:val="20"/>
          <w:szCs w:val="20"/>
          <w:lang w:val="nl-BE"/>
        </w:rPr>
        <w:t>Canada</w:t>
      </w:r>
      <w:r>
        <w:rPr>
          <w:rFonts w:ascii="FlandersArtSans-Regular" w:hAnsi="FlandersArtSans-Regular"/>
          <w:sz w:val="20"/>
          <w:szCs w:val="20"/>
          <w:lang w:val="nl-BE"/>
        </w:rPr>
        <w:t xml:space="preserve">, want die nam liefst 23,2% toe. Daar spanden </w:t>
      </w:r>
      <w:r>
        <w:rPr>
          <w:rFonts w:ascii="FlandersArtSans-Regular" w:hAnsi="FlandersArtSans-Regular"/>
          <w:i/>
          <w:sz w:val="20"/>
          <w:szCs w:val="20"/>
          <w:lang w:val="nl-BE"/>
        </w:rPr>
        <w:t xml:space="preserve">chemie </w:t>
      </w:r>
      <w:r>
        <w:rPr>
          <w:rFonts w:ascii="FlandersArtSans-Regular" w:hAnsi="FlandersArtSans-Regular"/>
          <w:sz w:val="20"/>
          <w:szCs w:val="20"/>
          <w:lang w:val="nl-BE"/>
        </w:rPr>
        <w:t>en</w:t>
      </w:r>
      <w:r>
        <w:rPr>
          <w:rFonts w:ascii="FlandersArtSans-Regular" w:hAnsi="FlandersArtSans-Regular"/>
          <w:i/>
          <w:sz w:val="20"/>
          <w:szCs w:val="20"/>
          <w:lang w:val="nl-BE"/>
        </w:rPr>
        <w:t xml:space="preserve"> farma</w:t>
      </w:r>
      <w:r>
        <w:rPr>
          <w:rFonts w:ascii="FlandersArtSans-Regular" w:hAnsi="FlandersArtSans-Regular"/>
          <w:sz w:val="20"/>
          <w:szCs w:val="20"/>
          <w:lang w:val="nl-BE"/>
        </w:rPr>
        <w:t xml:space="preserve"> de kroon.</w:t>
      </w:r>
      <w:r>
        <w:rPr>
          <w:rFonts w:ascii="FlandersArtSans-Regular" w:hAnsi="FlandersArtSans-Regular"/>
          <w:sz w:val="20"/>
          <w:szCs w:val="20"/>
          <w:lang w:val="nl-BE"/>
        </w:rPr>
        <w:br/>
      </w:r>
    </w:p>
    <w:p>
      <w:pPr>
        <w:pStyle w:val="ListParagraph"/>
        <w:ind w:left="709"/>
        <w:rPr>
          <w:rFonts w:ascii="Arial" w:hAnsi="Arial" w:cs="Arial"/>
          <w:sz w:val="20"/>
          <w:szCs w:val="20"/>
          <w:lang w:val="nl-BE"/>
        </w:rPr>
      </w:pPr>
      <w:r>
        <w:rPr>
          <w:rFonts w:ascii="Arial" w:hAnsi="Arial" w:cs="Arial"/>
          <w:noProof/>
          <w:sz w:val="20"/>
          <w:szCs w:val="20"/>
          <w:lang w:val="nl-BE"/>
        </w:rPr>
        <w:lastRenderedPageBreak/>
        <w:drawing>
          <wp:inline distT="0" distB="0" distL="0" distR="0">
            <wp:extent cx="5778000" cy="45828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8000" cy="4582800"/>
                    </a:xfrm>
                    <a:prstGeom prst="rect">
                      <a:avLst/>
                    </a:prstGeom>
                  </pic:spPr>
                </pic:pic>
              </a:graphicData>
            </a:graphic>
          </wp:inline>
        </w:drawing>
      </w:r>
      <w:r>
        <w:rPr>
          <w:rFonts w:ascii="Arial" w:hAnsi="Arial" w:cs="Arial"/>
          <w:sz w:val="20"/>
          <w:szCs w:val="20"/>
          <w:lang w:val="nl-BE"/>
        </w:rPr>
        <w:br/>
      </w:r>
    </w:p>
    <w:p>
      <w:pPr>
        <w:pStyle w:val="ListParagraph"/>
        <w:numPr>
          <w:ilvl w:val="0"/>
          <w:numId w:val="3"/>
        </w:numPr>
        <w:rPr>
          <w:rFonts w:cs="Arial"/>
          <w:sz w:val="20"/>
          <w:szCs w:val="20"/>
          <w:lang w:val="nl-BE"/>
        </w:rPr>
      </w:pPr>
      <w:r>
        <w:rPr>
          <w:rFonts w:ascii="FlandersArtSans-Regular" w:hAnsi="FlandersArtSans-Regular" w:cs="Arial"/>
          <w:sz w:val="20"/>
          <w:szCs w:val="20"/>
          <w:lang w:val="nl-BE"/>
        </w:rPr>
        <w:t>Sectoraal gezien, waren er in 2017 geen noemenswaardige verschuivingen onder de Vlaamse industrietakken die de export schraagden:</w:t>
      </w:r>
    </w:p>
    <w:p>
      <w:pPr>
        <w:pStyle w:val="ListParagraph"/>
        <w:rPr>
          <w:rFonts w:cs="Arial"/>
          <w:sz w:val="20"/>
          <w:szCs w:val="20"/>
          <w:lang w:val="nl-BE"/>
        </w:rPr>
      </w:pPr>
    </w:p>
    <w:p>
      <w:pPr>
        <w:pStyle w:val="ListParagraph"/>
        <w:numPr>
          <w:ilvl w:val="1"/>
          <w:numId w:val="3"/>
        </w:numPr>
        <w:rPr>
          <w:rFonts w:cs="Arial"/>
          <w:sz w:val="20"/>
          <w:szCs w:val="20"/>
          <w:lang w:val="nl-BE"/>
        </w:rPr>
      </w:pPr>
      <w:r>
        <w:rPr>
          <w:rFonts w:ascii="FlandersArtSans-Regular" w:eastAsia="Times New Roman" w:hAnsi="FlandersArtSans-Regular" w:cs="Times New Roman"/>
          <w:color w:val="000000" w:themeColor="text1"/>
          <w:sz w:val="20"/>
          <w:szCs w:val="20"/>
          <w:lang w:val="nl-BE" w:eastAsia="nl-BE"/>
        </w:rPr>
        <w:t xml:space="preserve">De jaarexport van </w:t>
      </w:r>
      <w:r>
        <w:rPr>
          <w:rFonts w:ascii="FlandersArtSans-Regular" w:eastAsia="Times New Roman" w:hAnsi="FlandersArtSans-Regular" w:cs="Times New Roman"/>
          <w:b/>
          <w:color w:val="000000" w:themeColor="text1"/>
          <w:sz w:val="20"/>
          <w:szCs w:val="20"/>
          <w:lang w:val="nl-BE" w:eastAsia="nl-BE"/>
        </w:rPr>
        <w:t>chemie / farma</w:t>
      </w:r>
      <w:r>
        <w:rPr>
          <w:rFonts w:ascii="FlandersArtSans-Regular" w:eastAsia="Times New Roman" w:hAnsi="FlandersArtSans-Regular" w:cs="Times New Roman"/>
          <w:color w:val="000000" w:themeColor="text1"/>
          <w:sz w:val="20"/>
          <w:szCs w:val="20"/>
          <w:lang w:val="nl-BE" w:eastAsia="nl-BE"/>
        </w:rPr>
        <w:t xml:space="preserve"> liep 4,08% terug, een waardedaling met liefst 2,9 miljard euro, van alle sectoren meteen ook het grootste jaarverlies. Toch bleven chemie en farma</w:t>
      </w:r>
      <w:r>
        <w:rPr>
          <w:rFonts w:ascii="FlandersArtSans-Regular" w:eastAsia="Times New Roman" w:hAnsi="FlandersArtSans-Regular" w:cs="Times New Roman"/>
          <w:b/>
          <w:color w:val="000000" w:themeColor="text1"/>
          <w:sz w:val="20"/>
          <w:szCs w:val="20"/>
          <w:lang w:val="nl-BE" w:eastAsia="nl-BE"/>
        </w:rPr>
        <w:t xml:space="preserve"> </w:t>
      </w:r>
      <w:r>
        <w:rPr>
          <w:rFonts w:ascii="FlandersArtSans-Regular" w:eastAsia="Times New Roman" w:hAnsi="FlandersArtSans-Regular" w:cs="Times New Roman"/>
          <w:color w:val="000000" w:themeColor="text1"/>
          <w:sz w:val="20"/>
          <w:szCs w:val="20"/>
          <w:lang w:val="nl-BE" w:eastAsia="nl-BE"/>
        </w:rPr>
        <w:t>ook in 2017 de Vlaamse exporticonen bij uitstek, met 68,6 miljard euro afzet en een aandeel van 21,6% in de Vlaamse totaaluitvoer.</w:t>
      </w:r>
    </w:p>
    <w:p>
      <w:pPr>
        <w:pStyle w:val="ListParagraph"/>
        <w:numPr>
          <w:ilvl w:val="1"/>
          <w:numId w:val="3"/>
        </w:numPr>
        <w:rPr>
          <w:rFonts w:ascii="Arial" w:hAnsi="Arial" w:cs="Arial"/>
          <w:sz w:val="20"/>
          <w:szCs w:val="20"/>
          <w:lang w:val="nl-BE"/>
        </w:rPr>
      </w:pPr>
      <w:r>
        <w:rPr>
          <w:rFonts w:ascii="FlandersArtSans-Regular" w:eastAsia="Times New Roman" w:hAnsi="FlandersArtSans-Regular" w:cs="Times New Roman"/>
          <w:color w:val="000000" w:themeColor="text1"/>
          <w:sz w:val="20"/>
          <w:szCs w:val="20"/>
          <w:lang w:val="nl-BE" w:eastAsia="nl-BE"/>
        </w:rPr>
        <w:t xml:space="preserve">Op 2 stond </w:t>
      </w:r>
      <w:r>
        <w:rPr>
          <w:rFonts w:ascii="FlandersArtSans-Regular" w:eastAsia="Times New Roman" w:hAnsi="FlandersArtSans-Regular" w:cs="Times New Roman"/>
          <w:b/>
          <w:i/>
          <w:color w:val="000000" w:themeColor="text1"/>
          <w:sz w:val="20"/>
          <w:szCs w:val="20"/>
          <w:lang w:val="nl-BE" w:eastAsia="nl-BE"/>
        </w:rPr>
        <w:t>transportmaterieel</w:t>
      </w:r>
      <w:r>
        <w:rPr>
          <w:rFonts w:ascii="FlandersArtSans-Regular" w:eastAsia="Times New Roman" w:hAnsi="FlandersArtSans-Regular" w:cs="Times New Roman"/>
          <w:color w:val="000000" w:themeColor="text1"/>
          <w:sz w:val="20"/>
          <w:szCs w:val="20"/>
          <w:lang w:val="nl-BE" w:eastAsia="nl-BE"/>
        </w:rPr>
        <w:t>, goed voor 41,4 miljard euro (of 13,1% van de hele Vlaamse jaarexport na een knappe 7,4% stijging in 2017.</w:t>
      </w:r>
    </w:p>
    <w:p>
      <w:pPr>
        <w:pStyle w:val="ListParagraph"/>
        <w:numPr>
          <w:ilvl w:val="1"/>
          <w:numId w:val="3"/>
        </w:numPr>
        <w:rPr>
          <w:rFonts w:ascii="Arial" w:hAnsi="Arial" w:cs="Arial"/>
          <w:sz w:val="20"/>
          <w:szCs w:val="20"/>
          <w:lang w:val="nl-BE"/>
        </w:rPr>
      </w:pPr>
      <w:r>
        <w:rPr>
          <w:rFonts w:ascii="FlandersArtSans-Regular" w:eastAsia="Times New Roman" w:hAnsi="FlandersArtSans-Regular" w:cs="Times New Roman"/>
          <w:color w:val="000000" w:themeColor="text1"/>
          <w:sz w:val="20"/>
          <w:szCs w:val="20"/>
          <w:lang w:val="nl-BE" w:eastAsia="nl-BE"/>
        </w:rPr>
        <w:t>De titel</w:t>
      </w:r>
      <w:r>
        <w:rPr>
          <w:rFonts w:ascii="FlandersArtSans-Regular" w:eastAsia="Times New Roman" w:hAnsi="FlandersArtSans-Regular" w:cs="Times New Roman"/>
          <w:color w:val="000000" w:themeColor="text1"/>
          <w:lang w:val="nl-BE" w:eastAsia="nl-BE"/>
        </w:rPr>
        <w:t xml:space="preserve"> “s</w:t>
      </w:r>
      <w:r>
        <w:rPr>
          <w:rFonts w:ascii="FlandersArtSans-Regular" w:eastAsia="Times New Roman" w:hAnsi="FlandersArtSans-Regular" w:cs="Times New Roman"/>
          <w:color w:val="000000" w:themeColor="text1"/>
          <w:sz w:val="20"/>
          <w:szCs w:val="20"/>
          <w:lang w:val="nl-BE" w:eastAsia="nl-BE"/>
        </w:rPr>
        <w:t xml:space="preserve">tijger van het jaar” ging in 2017 naar </w:t>
      </w:r>
      <w:r>
        <w:rPr>
          <w:rFonts w:ascii="FlandersArtSans-Regular" w:eastAsia="Times New Roman" w:hAnsi="FlandersArtSans-Regular" w:cs="Times New Roman"/>
          <w:b/>
          <w:i/>
          <w:color w:val="000000" w:themeColor="text1"/>
          <w:sz w:val="20"/>
          <w:szCs w:val="20"/>
          <w:lang w:val="nl-BE" w:eastAsia="nl-BE"/>
        </w:rPr>
        <w:t>minerale producten</w:t>
      </w:r>
      <w:r>
        <w:rPr>
          <w:rFonts w:ascii="FlandersArtSans-Regular" w:eastAsia="Times New Roman" w:hAnsi="FlandersArtSans-Regular" w:cs="Times New Roman"/>
          <w:color w:val="000000" w:themeColor="text1"/>
          <w:sz w:val="20"/>
          <w:szCs w:val="20"/>
          <w:lang w:val="nl-BE" w:eastAsia="nl-BE"/>
        </w:rPr>
        <w:t xml:space="preserve">, waarvan de jaaruitvoer met liefst 6,3 miljard euro omhoogschoot, meteen een jaarstijging van 27,6%. </w:t>
      </w:r>
      <w:r>
        <w:rPr>
          <w:rFonts w:ascii="FlandersArtSans-Regular" w:eastAsia="Times New Roman" w:hAnsi="FlandersArtSans-Regular" w:cs="Times New Roman"/>
          <w:color w:val="000000" w:themeColor="text1"/>
          <w:sz w:val="20"/>
          <w:szCs w:val="20"/>
          <w:lang w:val="nl-BE" w:eastAsia="nl-BE"/>
        </w:rPr>
        <w:br/>
        <w:t xml:space="preserve">Het leeuwendeel daarvan (94%) waren </w:t>
      </w:r>
      <w:r>
        <w:rPr>
          <w:rFonts w:ascii="FlandersArtSans-Regular" w:eastAsia="Times New Roman" w:hAnsi="FlandersArtSans-Regular" w:cs="Times New Roman"/>
          <w:i/>
          <w:color w:val="000000" w:themeColor="text1"/>
          <w:sz w:val="20"/>
          <w:szCs w:val="20"/>
          <w:lang w:val="nl-BE" w:eastAsia="nl-BE"/>
        </w:rPr>
        <w:t>minerale brandstoffe</w:t>
      </w:r>
      <w:r>
        <w:rPr>
          <w:rFonts w:ascii="FlandersArtSans-Regular" w:eastAsia="Times New Roman" w:hAnsi="FlandersArtSans-Regular" w:cs="Times New Roman"/>
          <w:color w:val="000000" w:themeColor="text1"/>
          <w:sz w:val="20"/>
          <w:szCs w:val="20"/>
          <w:lang w:val="nl-BE" w:eastAsia="nl-BE"/>
        </w:rPr>
        <w:t xml:space="preserve">n, waarvan de exportaanwas op een haar na 6 miljard euro beliep </w:t>
      </w:r>
      <w:r>
        <w:rPr>
          <w:rFonts w:ascii="FlandersArtSans-Regular" w:hAnsi="FlandersArtSans-Regular"/>
          <w:color w:val="000000" w:themeColor="text1"/>
          <w:sz w:val="20"/>
          <w:szCs w:val="20"/>
          <w:lang w:val="nl-BE"/>
        </w:rPr>
        <w:t xml:space="preserve">(+28,3%). Het was overigens sinds 2013 geleden dat deze producttak </w:t>
      </w:r>
      <w:r>
        <w:rPr>
          <w:rFonts w:ascii="FlandersArtSans-Regular" w:hAnsi="FlandersArtSans-Regular"/>
          <w:color w:val="000000" w:themeColor="text1"/>
          <w:sz w:val="20"/>
          <w:szCs w:val="20"/>
          <w:lang w:val="nl-BE"/>
        </w:rPr>
        <w:t>binnen de Vlaamse export</w:t>
      </w:r>
      <w:r>
        <w:rPr>
          <w:rFonts w:ascii="FlandersArtSans-Regular" w:hAnsi="FlandersArtSans-Regular"/>
          <w:color w:val="000000" w:themeColor="text1"/>
          <w:sz w:val="20"/>
          <w:szCs w:val="20"/>
          <w:lang w:val="nl-BE"/>
        </w:rPr>
        <w:t xml:space="preserve"> </w:t>
      </w:r>
      <w:bookmarkStart w:id="0" w:name="_GoBack"/>
      <w:bookmarkEnd w:id="0"/>
      <w:r>
        <w:rPr>
          <w:rFonts w:ascii="FlandersArtSans-Regular" w:hAnsi="FlandersArtSans-Regular"/>
          <w:color w:val="000000" w:themeColor="text1"/>
          <w:sz w:val="20"/>
          <w:szCs w:val="20"/>
          <w:lang w:val="nl-BE"/>
        </w:rPr>
        <w:t xml:space="preserve">een keer géén rode cijfers meer had laten optekenen. In de uitvoerresultaten voor </w:t>
      </w:r>
      <w:r>
        <w:rPr>
          <w:rFonts w:ascii="FlandersArtSans-Regular" w:hAnsi="FlandersArtSans-Regular"/>
          <w:i/>
          <w:color w:val="000000" w:themeColor="text1"/>
          <w:sz w:val="20"/>
          <w:szCs w:val="20"/>
          <w:lang w:val="nl-BE"/>
        </w:rPr>
        <w:t>brandstoffen</w:t>
      </w:r>
      <w:r>
        <w:rPr>
          <w:rFonts w:ascii="FlandersArtSans-Regular" w:hAnsi="FlandersArtSans-Regular"/>
          <w:color w:val="000000" w:themeColor="text1"/>
          <w:sz w:val="20"/>
          <w:szCs w:val="20"/>
          <w:lang w:val="nl-BE"/>
        </w:rPr>
        <w:t xml:space="preserve"> spelen doorgaans ook factoren mee als het prijsverloop op de wereldmarkt én ver</w:t>
      </w:r>
      <w:r>
        <w:rPr>
          <w:rFonts w:ascii="FlandersArtSans-Regular" w:hAnsi="FlandersArtSans-Regular"/>
          <w:color w:val="000000" w:themeColor="text1"/>
          <w:sz w:val="20"/>
          <w:szCs w:val="20"/>
          <w:lang w:val="nl-BE"/>
        </w:rPr>
        <w:softHyphen/>
        <w:t>schui</w:t>
      </w:r>
      <w:r>
        <w:rPr>
          <w:rFonts w:ascii="FlandersArtSans-Regular" w:hAnsi="FlandersArtSans-Regular"/>
          <w:color w:val="000000" w:themeColor="text1"/>
          <w:sz w:val="20"/>
          <w:szCs w:val="20"/>
          <w:lang w:val="nl-BE"/>
        </w:rPr>
        <w:softHyphen/>
        <w:t>vingen van het exportvolume van aardolieproducten. In 2017 was dat niet anders.</w:t>
      </w:r>
    </w:p>
    <w:p>
      <w:pPr>
        <w:pStyle w:val="ListParagraph"/>
        <w:numPr>
          <w:ilvl w:val="1"/>
          <w:numId w:val="3"/>
        </w:numPr>
        <w:rPr>
          <w:rFonts w:ascii="Arial" w:hAnsi="Arial" w:cs="Arial"/>
          <w:sz w:val="20"/>
          <w:szCs w:val="20"/>
          <w:lang w:val="nl-BE"/>
        </w:rPr>
      </w:pPr>
      <w:r>
        <w:rPr>
          <w:rFonts w:ascii="FlandersArtSans-Regular" w:eastAsia="Times New Roman" w:hAnsi="FlandersArtSans-Regular" w:cs="Times New Roman"/>
          <w:b/>
          <w:color w:val="000000" w:themeColor="text1"/>
          <w:sz w:val="20"/>
          <w:szCs w:val="20"/>
          <w:lang w:val="nl-BE" w:eastAsia="nl-BE"/>
        </w:rPr>
        <w:t>Kunststoffen</w:t>
      </w:r>
      <w:r>
        <w:rPr>
          <w:rFonts w:ascii="FlandersArtSans-Regular" w:eastAsia="Times New Roman" w:hAnsi="FlandersArtSans-Regular" w:cs="Times New Roman"/>
          <w:color w:val="000000" w:themeColor="text1"/>
          <w:sz w:val="20"/>
          <w:szCs w:val="20"/>
          <w:lang w:val="nl-BE" w:eastAsia="nl-BE"/>
        </w:rPr>
        <w:t>, onze 5</w:t>
      </w:r>
      <w:r>
        <w:rPr>
          <w:rFonts w:ascii="FlandersArtSans-Regular" w:eastAsia="Times New Roman" w:hAnsi="FlandersArtSans-Regular" w:cs="Times New Roman"/>
          <w:color w:val="000000" w:themeColor="text1"/>
          <w:sz w:val="20"/>
          <w:szCs w:val="20"/>
          <w:vertAlign w:val="superscript"/>
          <w:lang w:val="nl-BE" w:eastAsia="nl-BE"/>
        </w:rPr>
        <w:t>e</w:t>
      </w:r>
      <w:r>
        <w:rPr>
          <w:rFonts w:ascii="FlandersArtSans-Regular" w:eastAsia="Times New Roman" w:hAnsi="FlandersArtSans-Regular" w:cs="Times New Roman"/>
          <w:color w:val="000000" w:themeColor="text1"/>
          <w:sz w:val="20"/>
          <w:szCs w:val="20"/>
          <w:lang w:val="nl-BE" w:eastAsia="nl-BE"/>
        </w:rPr>
        <w:t xml:space="preserve"> exportsector met 8,6% van de totaaluitvoer, zaten in 2017 ook bij de stevige exportgroeiers met 2,2 miljard euro aan bijgewonnen uitvoer (+8,9%).</w:t>
      </w:r>
    </w:p>
    <w:p>
      <w:pPr>
        <w:pStyle w:val="ListParagraph"/>
        <w:numPr>
          <w:ilvl w:val="1"/>
          <w:numId w:val="3"/>
        </w:numPr>
        <w:rPr>
          <w:rFonts w:ascii="Arial" w:hAnsi="Arial" w:cs="Arial"/>
          <w:sz w:val="20"/>
          <w:szCs w:val="20"/>
          <w:lang w:val="nl-BE"/>
        </w:rPr>
      </w:pPr>
      <w:r>
        <w:rPr>
          <w:rFonts w:ascii="FlandersArtSans-Regular" w:eastAsia="Times New Roman" w:hAnsi="FlandersArtSans-Regular" w:cs="Times New Roman"/>
          <w:color w:val="000000" w:themeColor="text1"/>
          <w:sz w:val="20"/>
          <w:szCs w:val="20"/>
          <w:lang w:val="nl-BE" w:eastAsia="nl-BE"/>
        </w:rPr>
        <w:t xml:space="preserve">Ook onze derde uitvoersector, </w:t>
      </w:r>
      <w:r>
        <w:rPr>
          <w:rFonts w:ascii="FlandersArtSans-Regular" w:eastAsia="Times New Roman" w:hAnsi="FlandersArtSans-Regular" w:cs="Times New Roman"/>
          <w:b/>
          <w:color w:val="000000" w:themeColor="text1"/>
          <w:sz w:val="20"/>
          <w:szCs w:val="20"/>
          <w:lang w:val="nl-BE" w:eastAsia="nl-BE"/>
        </w:rPr>
        <w:t>machines, mechanica en elektr(on)ische apparatuur</w:t>
      </w:r>
      <w:r>
        <w:rPr>
          <w:rFonts w:ascii="FlandersArtSans-Regular" w:eastAsia="Times New Roman" w:hAnsi="FlandersArtSans-Regular" w:cs="Times New Roman"/>
          <w:color w:val="000000" w:themeColor="text1"/>
          <w:sz w:val="20"/>
          <w:szCs w:val="20"/>
          <w:lang w:val="nl-BE" w:eastAsia="nl-BE"/>
        </w:rPr>
        <w:t>, met 10,9% exportaandeel, wist in 2017 zijn Vlaamse jaarexport 4,2% op te drijven.</w:t>
      </w:r>
    </w:p>
    <w:p>
      <w:pPr>
        <w:ind w:left="1080"/>
        <w:jc w:val="center"/>
        <w:rPr>
          <w:rFonts w:ascii="Arial" w:hAnsi="Arial" w:cs="Arial"/>
          <w:sz w:val="20"/>
          <w:szCs w:val="20"/>
          <w:lang w:val="nl-BE"/>
        </w:rPr>
      </w:pPr>
      <w:r>
        <w:rPr>
          <w:rFonts w:ascii="Arial" w:hAnsi="Arial" w:cs="Arial"/>
          <w:noProof/>
          <w:sz w:val="20"/>
          <w:szCs w:val="20"/>
          <w:lang w:val="nl-BE"/>
        </w:rPr>
        <w:lastRenderedPageBreak/>
        <w:drawing>
          <wp:inline distT="0" distB="0" distL="0" distR="0">
            <wp:extent cx="5835600" cy="41472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5600" cy="4147200"/>
                    </a:xfrm>
                    <a:prstGeom prst="rect">
                      <a:avLst/>
                    </a:prstGeom>
                    <a:noFill/>
                  </pic:spPr>
                </pic:pic>
              </a:graphicData>
            </a:graphic>
          </wp:inline>
        </w:drawing>
      </w:r>
    </w:p>
    <w:p>
      <w:pPr>
        <w:pStyle w:val="ListParagraph"/>
        <w:ind w:left="851"/>
        <w:jc w:val="center"/>
        <w:rPr>
          <w:rFonts w:ascii="Arial" w:hAnsi="Arial" w:cs="Arial"/>
          <w:sz w:val="20"/>
          <w:szCs w:val="20"/>
          <w:lang w:val="nl-BE"/>
        </w:rPr>
      </w:pPr>
    </w:p>
    <w:p>
      <w:pPr>
        <w:pStyle w:val="ListParagraph"/>
        <w:numPr>
          <w:ilvl w:val="0"/>
          <w:numId w:val="3"/>
        </w:numPr>
        <w:ind w:left="360"/>
        <w:rPr>
          <w:rFonts w:ascii="FlandersArtSans-Regular" w:hAnsi="FlandersArtSans-Regular" w:cs="Arial"/>
          <w:sz w:val="20"/>
          <w:szCs w:val="20"/>
          <w:lang w:val="nl-BE"/>
        </w:rPr>
      </w:pPr>
      <w:r>
        <w:rPr>
          <w:rFonts w:ascii="FlandersArtSans-Regular" w:hAnsi="FlandersArtSans-Regular" w:cs="Arial"/>
          <w:sz w:val="20"/>
          <w:szCs w:val="20"/>
          <w:lang w:val="nl-BE"/>
        </w:rPr>
        <w:t>De Vlaamse goederen</w:t>
      </w:r>
      <w:r>
        <w:rPr>
          <w:rFonts w:ascii="FlandersArtSans-Regular" w:hAnsi="FlandersArtSans-Regular" w:cs="Arial"/>
          <w:b/>
          <w:sz w:val="20"/>
          <w:szCs w:val="20"/>
          <w:lang w:val="nl-BE"/>
        </w:rPr>
        <w:t xml:space="preserve">import </w:t>
      </w:r>
      <w:r>
        <w:rPr>
          <w:rFonts w:ascii="FlandersArtSans-Regular" w:hAnsi="FlandersArtSans-Regular" w:cs="Arial"/>
          <w:sz w:val="20"/>
          <w:szCs w:val="20"/>
          <w:lang w:val="nl-BE"/>
        </w:rPr>
        <w:t>in 2017 bedroeg € 299 miljard, +3,1% meer dan in 2016.</w:t>
      </w:r>
    </w:p>
    <w:p>
      <w:pPr>
        <w:pStyle w:val="ListParagraph"/>
        <w:ind w:left="360"/>
        <w:rPr>
          <w:rFonts w:ascii="FlandersArtSans-Regular" w:hAnsi="FlandersArtSans-Regular" w:cs="Arial"/>
          <w:sz w:val="20"/>
          <w:szCs w:val="20"/>
          <w:lang w:val="nl-BE"/>
        </w:rPr>
      </w:pPr>
    </w:p>
    <w:p>
      <w:pPr>
        <w:pStyle w:val="ListParagraph"/>
        <w:numPr>
          <w:ilvl w:val="0"/>
          <w:numId w:val="6"/>
        </w:numPr>
        <w:rPr>
          <w:rFonts w:ascii="FlandersArtSans-Regular" w:hAnsi="FlandersArtSans-Regular" w:cs="Arial"/>
          <w:sz w:val="20"/>
          <w:szCs w:val="20"/>
          <w:lang w:val="nl-BE"/>
        </w:rPr>
      </w:pPr>
      <w:r>
        <w:rPr>
          <w:rFonts w:ascii="FlandersArtSans-Regular" w:hAnsi="FlandersArtSans-Regular" w:cs="Arial"/>
          <w:sz w:val="20"/>
          <w:szCs w:val="20"/>
          <w:lang w:val="nl-BE"/>
        </w:rPr>
        <w:t xml:space="preserve">Topverkoper </w:t>
      </w:r>
      <w:r>
        <w:rPr>
          <w:rFonts w:ascii="FlandersArtSans-Regular" w:hAnsi="FlandersArtSans-Regular" w:cs="Arial"/>
          <w:b/>
          <w:sz w:val="20"/>
          <w:szCs w:val="20"/>
          <w:lang w:val="nl-BE"/>
        </w:rPr>
        <w:t>Nederland</w:t>
      </w:r>
      <w:r>
        <w:rPr>
          <w:rFonts w:ascii="FlandersArtSans-Regular" w:hAnsi="FlandersArtSans-Regular" w:cs="Arial"/>
          <w:sz w:val="20"/>
          <w:szCs w:val="20"/>
          <w:lang w:val="nl-BE"/>
        </w:rPr>
        <w:t xml:space="preserve"> (+9,71% - vooral extra </w:t>
      </w:r>
      <w:r>
        <w:rPr>
          <w:rFonts w:ascii="FlandersArtSans-Regular" w:hAnsi="FlandersArtSans-Regular" w:cs="Arial"/>
          <w:i/>
          <w:sz w:val="20"/>
          <w:szCs w:val="20"/>
          <w:lang w:val="nl-BE"/>
        </w:rPr>
        <w:t>minerale brandstoffen en aardolieproducten</w:t>
      </w:r>
      <w:r>
        <w:rPr>
          <w:rFonts w:ascii="FlandersArtSans-Regular" w:hAnsi="FlandersArtSans-Regular" w:cs="Arial"/>
          <w:sz w:val="20"/>
          <w:szCs w:val="20"/>
          <w:lang w:val="nl-BE"/>
        </w:rPr>
        <w:t xml:space="preserve">) consolideerde in 2017 zijn koppositie als hoofdleverancier van Vlaanderen met 17,92% inbreng in de Vlaamse totaalinvoer wereldwijd. Op 2 gaf het leverancier </w:t>
      </w:r>
      <w:r>
        <w:rPr>
          <w:rFonts w:ascii="FlandersArtSans-Regular" w:hAnsi="FlandersArtSans-Regular" w:cs="Arial"/>
          <w:b/>
          <w:sz w:val="20"/>
          <w:szCs w:val="20"/>
          <w:lang w:val="nl-BE"/>
        </w:rPr>
        <w:t>Duitsland</w:t>
      </w:r>
      <w:r>
        <w:rPr>
          <w:rFonts w:ascii="FlandersArtSans-Regular" w:hAnsi="FlandersArtSans-Regular" w:cs="Arial"/>
          <w:sz w:val="20"/>
          <w:szCs w:val="20"/>
          <w:lang w:val="nl-BE"/>
        </w:rPr>
        <w:t xml:space="preserve"> het nakijken (-6,08% en 11,78% aandeel), dat </w:t>
      </w:r>
      <w:r>
        <w:rPr>
          <w:rFonts w:ascii="FlandersArtSans-Regular" w:hAnsi="FlandersArtSans-Regular" w:cs="Arial"/>
          <w:b/>
          <w:sz w:val="20"/>
          <w:szCs w:val="20"/>
          <w:lang w:val="nl-BE"/>
        </w:rPr>
        <w:t>Frankrijk</w:t>
      </w:r>
      <w:r>
        <w:rPr>
          <w:rFonts w:ascii="FlandersArtSans-Regular" w:hAnsi="FlandersArtSans-Regular" w:cs="Arial"/>
          <w:sz w:val="20"/>
          <w:szCs w:val="20"/>
          <w:lang w:val="nl-BE"/>
        </w:rPr>
        <w:t xml:space="preserve"> op zijn aloude derde plaats hield (+5,05% en 8,17% aandeel).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1"/>
        <w:gridCol w:w="526"/>
      </w:tblGrid>
      <w:tr>
        <w:trPr>
          <w:trHeight w:val="4199"/>
        </w:trPr>
        <w:tc>
          <w:tcPr>
            <w:tcW w:w="4457" w:type="dxa"/>
          </w:tcPr>
          <w:p>
            <w:pPr>
              <w:ind w:left="171"/>
              <w:jc w:val="center"/>
              <w:rPr>
                <w:rFonts w:ascii="Arial" w:hAnsi="Arial" w:cs="Arial"/>
                <w:sz w:val="20"/>
                <w:szCs w:val="20"/>
                <w:lang w:val="nl-BE"/>
              </w:rPr>
            </w:pPr>
            <w:r>
              <w:rPr>
                <w:noProof/>
              </w:rPr>
              <w:drawing>
                <wp:inline distT="0" distB="0" distL="0" distR="0">
                  <wp:extent cx="6066845" cy="3753016"/>
                  <wp:effectExtent l="0" t="0" r="0" b="0"/>
                  <wp:docPr id="7" name="Chart 7">
                    <a:extLst xmlns:a="http://schemas.openxmlformats.org/drawingml/2006/main">
                      <a:ext uri="{FF2B5EF4-FFF2-40B4-BE49-F238E27FC236}">
                        <a16:creationId xmlns:a16="http://schemas.microsoft.com/office/drawing/2014/main" id="{6B804C30-FE07-4415-8562-11E5DA48B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289" w:type="dxa"/>
          </w:tcPr>
          <w:p>
            <w:pPr>
              <w:rPr>
                <w:rFonts w:ascii="Arial" w:hAnsi="Arial" w:cs="Arial"/>
                <w:sz w:val="20"/>
                <w:szCs w:val="20"/>
                <w:lang w:val="nl-BE"/>
              </w:rPr>
            </w:pPr>
          </w:p>
        </w:tc>
      </w:tr>
    </w:tbl>
    <w:p>
      <w:pPr>
        <w:rPr>
          <w:rFonts w:cs="Arial"/>
          <w:sz w:val="20"/>
          <w:szCs w:val="20"/>
          <w:lang w:val="nl-BE"/>
        </w:rPr>
      </w:pPr>
    </w:p>
    <w:p>
      <w:pPr>
        <w:pStyle w:val="ListParagraph"/>
        <w:numPr>
          <w:ilvl w:val="0"/>
          <w:numId w:val="6"/>
        </w:numPr>
        <w:spacing w:before="120"/>
        <w:ind w:left="1077" w:hanging="357"/>
        <w:rPr>
          <w:rFonts w:ascii="FlandersArtSans-Regular" w:hAnsi="FlandersArtSans-Regular" w:cs="Arial"/>
          <w:sz w:val="20"/>
          <w:szCs w:val="20"/>
          <w:lang w:val="nl-BE"/>
        </w:rPr>
      </w:pPr>
      <w:r>
        <w:rPr>
          <w:rFonts w:ascii="FlandersArtSans-Regular" w:hAnsi="FlandersArtSans-Regular" w:cs="Arial"/>
          <w:sz w:val="20"/>
          <w:szCs w:val="20"/>
          <w:lang w:val="nl-BE"/>
        </w:rPr>
        <w:lastRenderedPageBreak/>
        <w:t xml:space="preserve">Dank zij een aanzienlijke toename (+24,13%), profileerde in 2017 de sector </w:t>
      </w:r>
      <w:r>
        <w:rPr>
          <w:rFonts w:ascii="FlandersArtSans-Regular" w:hAnsi="FlandersArtSans-Regular" w:cs="Arial"/>
          <w:b/>
          <w:sz w:val="20"/>
          <w:szCs w:val="20"/>
          <w:lang w:val="nl-BE"/>
        </w:rPr>
        <w:t>minerale producten</w:t>
      </w:r>
      <w:r>
        <w:rPr>
          <w:rFonts w:ascii="FlandersArtSans-Regular" w:hAnsi="FlandersArtSans-Regular" w:cs="Arial"/>
          <w:sz w:val="20"/>
          <w:szCs w:val="20"/>
          <w:lang w:val="nl-BE"/>
        </w:rPr>
        <w:t xml:space="preserve"> zich– met </w:t>
      </w:r>
      <w:r>
        <w:rPr>
          <w:rFonts w:ascii="FlandersArtSans-Regular" w:hAnsi="FlandersArtSans-Regular" w:cs="Arial"/>
          <w:i/>
          <w:sz w:val="20"/>
          <w:szCs w:val="20"/>
          <w:lang w:val="nl-BE"/>
        </w:rPr>
        <w:t>brandstoffen</w:t>
      </w:r>
      <w:r>
        <w:rPr>
          <w:rFonts w:ascii="FlandersArtSans-Regular" w:hAnsi="FlandersArtSans-Regular" w:cs="Arial"/>
          <w:sz w:val="20"/>
          <w:szCs w:val="20"/>
          <w:lang w:val="nl-BE"/>
        </w:rPr>
        <w:t xml:space="preserve"> als sterproducten – als invoerpost nummer 2: ongeveer 15% van de totale Vlaamse sectorale invoeruitgaven gaat inmiddels op aan die branche. </w:t>
      </w:r>
      <w:r>
        <w:rPr>
          <w:rFonts w:ascii="FlandersArtSans-Regular" w:hAnsi="FlandersArtSans-Regular" w:cs="Arial"/>
          <w:b/>
          <w:sz w:val="20"/>
          <w:szCs w:val="20"/>
          <w:lang w:val="nl-BE"/>
        </w:rPr>
        <w:t>Chemie en farma</w:t>
      </w:r>
      <w:r>
        <w:rPr>
          <w:rFonts w:ascii="FlandersArtSans-Regular" w:hAnsi="FlandersArtSans-Regular" w:cs="Arial"/>
          <w:sz w:val="20"/>
          <w:szCs w:val="20"/>
          <w:lang w:val="nl-BE"/>
        </w:rPr>
        <w:t xml:space="preserve"> blijven samen wel stevig op de eerste plaats met een importaandeel van 19,72%, ondanks een geringe invoerdaling met 2,66%. </w:t>
      </w:r>
    </w:p>
    <w:p>
      <w:pPr>
        <w:pStyle w:val="ListParagraph"/>
        <w:numPr>
          <w:ilvl w:val="0"/>
          <w:numId w:val="6"/>
        </w:numPr>
        <w:spacing w:before="120"/>
        <w:ind w:left="1077" w:hanging="357"/>
        <w:rPr>
          <w:rFonts w:ascii="FlandersArtSans-Regular" w:hAnsi="FlandersArtSans-Regular" w:cs="Arial"/>
          <w:sz w:val="20"/>
          <w:szCs w:val="20"/>
          <w:lang w:val="nl-BE"/>
        </w:rPr>
      </w:pPr>
      <w:r>
        <w:rPr>
          <w:rFonts w:ascii="FlandersArtSans-Regular" w:hAnsi="FlandersArtSans-Regular" w:cs="Arial"/>
          <w:sz w:val="20"/>
          <w:szCs w:val="20"/>
          <w:lang w:val="nl-BE"/>
        </w:rPr>
        <w:t xml:space="preserve">De waarde van het ingevoerde </w:t>
      </w:r>
      <w:r>
        <w:rPr>
          <w:rFonts w:ascii="FlandersArtSans-Regular" w:hAnsi="FlandersArtSans-Regular" w:cs="Arial"/>
          <w:b/>
          <w:sz w:val="20"/>
          <w:szCs w:val="20"/>
          <w:lang w:val="nl-BE"/>
        </w:rPr>
        <w:t>transportmaterieel</w:t>
      </w:r>
      <w:r>
        <w:rPr>
          <w:rFonts w:ascii="FlandersArtSans-Regular" w:hAnsi="FlandersArtSans-Regular" w:cs="Arial"/>
          <w:sz w:val="20"/>
          <w:szCs w:val="20"/>
          <w:lang w:val="nl-BE"/>
        </w:rPr>
        <w:t xml:space="preserve"> zakte ongeveer 11%, waardoor het nog net 13% importaandeel meepikte. Andere belangrijke importsectoren lieten een waardetoename noteren, zoals </w:t>
      </w:r>
      <w:r>
        <w:rPr>
          <w:rFonts w:ascii="FlandersArtSans-Regular" w:hAnsi="FlandersArtSans-Regular" w:cs="Arial"/>
          <w:b/>
          <w:sz w:val="20"/>
          <w:szCs w:val="20"/>
          <w:lang w:val="nl-BE"/>
        </w:rPr>
        <w:t>machines</w:t>
      </w:r>
      <w:r>
        <w:rPr>
          <w:rFonts w:ascii="FlandersArtSans-Regular" w:hAnsi="FlandersArtSans-Regular" w:cs="Arial"/>
          <w:sz w:val="20"/>
          <w:szCs w:val="20"/>
          <w:lang w:val="nl-BE"/>
        </w:rPr>
        <w:t xml:space="preserve"> (+5,57%), </w:t>
      </w:r>
      <w:r>
        <w:rPr>
          <w:rFonts w:ascii="FlandersArtSans-Regular" w:hAnsi="FlandersArtSans-Regular" w:cs="Arial"/>
          <w:b/>
          <w:sz w:val="20"/>
          <w:szCs w:val="20"/>
          <w:lang w:val="nl-BE"/>
        </w:rPr>
        <w:t>onedele metalen</w:t>
      </w:r>
      <w:r>
        <w:rPr>
          <w:rFonts w:ascii="FlandersArtSans-Regular" w:hAnsi="FlandersArtSans-Regular" w:cs="Arial"/>
          <w:sz w:val="20"/>
          <w:szCs w:val="20"/>
          <w:lang w:val="nl-BE"/>
        </w:rPr>
        <w:t xml:space="preserve"> (+17,06%) en </w:t>
      </w:r>
      <w:r>
        <w:rPr>
          <w:rFonts w:ascii="FlandersArtSans-Regular" w:hAnsi="FlandersArtSans-Regular" w:cs="Arial"/>
          <w:b/>
          <w:sz w:val="20"/>
          <w:szCs w:val="20"/>
          <w:lang w:val="nl-BE"/>
        </w:rPr>
        <w:t>kunststoffen</w:t>
      </w:r>
      <w:r>
        <w:rPr>
          <w:rFonts w:ascii="FlandersArtSans-Regular" w:hAnsi="FlandersArtSans-Regular" w:cs="Arial"/>
          <w:sz w:val="20"/>
          <w:szCs w:val="20"/>
          <w:lang w:val="nl-BE"/>
        </w:rPr>
        <w:t xml:space="preserve"> (+12,6%).</w:t>
      </w:r>
    </w:p>
    <w:p>
      <w:pPr>
        <w:pStyle w:val="ListParagraph"/>
        <w:ind w:left="993"/>
        <w:rPr>
          <w:rFonts w:cs="Arial"/>
          <w:sz w:val="20"/>
          <w:szCs w:val="20"/>
          <w:lang w:val="nl-BE"/>
        </w:rPr>
      </w:pPr>
    </w:p>
    <w:p>
      <w:pPr>
        <w:pStyle w:val="ListParagraph"/>
        <w:rPr>
          <w:rFonts w:cs="Arial"/>
          <w:sz w:val="20"/>
          <w:szCs w:val="20"/>
          <w:lang w:val="nl-BE"/>
        </w:rPr>
      </w:pPr>
      <w:r>
        <w:rPr>
          <w:noProof/>
        </w:rPr>
        <w:drawing>
          <wp:inline distT="0" distB="0" distL="0" distR="0">
            <wp:extent cx="5989320" cy="2857500"/>
            <wp:effectExtent l="0" t="0" r="0" b="0"/>
            <wp:docPr id="16" name="Chart 16">
              <a:extLst xmlns:a="http://schemas.openxmlformats.org/drawingml/2006/main">
                <a:ext uri="{FF2B5EF4-FFF2-40B4-BE49-F238E27FC236}">
                  <a16:creationId xmlns:a16="http://schemas.microsoft.com/office/drawing/2014/main" id="{99D4821A-0A08-41D8-AB16-20ADD9148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ListParagraph"/>
        <w:numPr>
          <w:ilvl w:val="0"/>
          <w:numId w:val="3"/>
        </w:numPr>
        <w:ind w:left="426"/>
        <w:rPr>
          <w:rFonts w:ascii="FlandersArtSans-Regular" w:hAnsi="FlandersArtSans-Regular" w:cs="Arial"/>
          <w:sz w:val="20"/>
          <w:szCs w:val="20"/>
          <w:lang w:val="nl-BE"/>
        </w:rPr>
      </w:pPr>
      <w:r>
        <w:rPr>
          <w:rFonts w:ascii="FlandersArtSans-Regular" w:hAnsi="FlandersArtSans-Regular" w:cs="Arial"/>
          <w:sz w:val="20"/>
          <w:szCs w:val="20"/>
          <w:lang w:val="nl-BE"/>
        </w:rPr>
        <w:t xml:space="preserve">De Vlaamse totaalhandel — de som van de in- en uitvoer met een bepaald </w:t>
      </w:r>
      <w:r>
        <w:rPr>
          <w:lang w:val="nl-BE"/>
        </w:rPr>
        <w:t xml:space="preserve">land </w:t>
      </w:r>
      <w:r>
        <w:rPr>
          <w:rFonts w:ascii="FlandersArtSans-Regular" w:hAnsi="FlandersArtSans-Regular" w:cs="Arial"/>
          <w:sz w:val="20"/>
          <w:szCs w:val="20"/>
          <w:lang w:val="nl-BE"/>
        </w:rPr>
        <w:t xml:space="preserve">– biedt zicht op de belangrijkste Vlaamse handelspartners. </w:t>
      </w:r>
    </w:p>
    <w:p>
      <w:pPr>
        <w:pStyle w:val="ListParagraph"/>
        <w:ind w:left="426"/>
        <w:rPr>
          <w:rFonts w:cs="Arial"/>
          <w:sz w:val="20"/>
          <w:szCs w:val="20"/>
          <w:lang w:val="nl-BE"/>
        </w:rPr>
      </w:pPr>
    </w:p>
    <w:p>
      <w:pPr>
        <w:pStyle w:val="ListParagraph"/>
        <w:numPr>
          <w:ilvl w:val="1"/>
          <w:numId w:val="3"/>
        </w:numPr>
        <w:spacing w:after="0"/>
        <w:ind w:left="1434" w:hanging="357"/>
        <w:rPr>
          <w:rFonts w:ascii="FlandersArtSans-Regular" w:hAnsi="FlandersArtSans-Regular" w:cs="Arial"/>
          <w:sz w:val="20"/>
          <w:szCs w:val="20"/>
          <w:lang w:val="nl-BE"/>
        </w:rPr>
      </w:pPr>
      <w:r>
        <w:rPr>
          <w:rFonts w:ascii="FlandersArtSans-Regular" w:hAnsi="FlandersArtSans-Regular" w:cs="Arial"/>
          <w:sz w:val="20"/>
          <w:szCs w:val="20"/>
          <w:lang w:val="nl-BE"/>
        </w:rPr>
        <w:t xml:space="preserve">In 2017 was Nederland de belangrijkste Vlaamse handelspartner, wat uiteraard grotendeels te maken heeft met de handel in </w:t>
      </w:r>
      <w:r>
        <w:rPr>
          <w:rFonts w:ascii="FlandersArtSans-Regular" w:hAnsi="FlandersArtSans-Regular" w:cs="Arial"/>
          <w:i/>
          <w:sz w:val="20"/>
          <w:szCs w:val="20"/>
          <w:lang w:val="nl-BE"/>
        </w:rPr>
        <w:t>minerale brandstoffen en raffinageproducten</w:t>
      </w:r>
      <w:r>
        <w:rPr>
          <w:rFonts w:ascii="FlandersArtSans-Regular" w:hAnsi="FlandersArtSans-Regular" w:cs="Arial"/>
          <w:sz w:val="20"/>
          <w:szCs w:val="20"/>
          <w:lang w:val="nl-BE"/>
        </w:rPr>
        <w:t>. Ruim 45% van wat Vlaanderen wereldwijd aan energieproducten invoert, komt dan ook uit Nederland.</w:t>
      </w:r>
    </w:p>
    <w:p>
      <w:pPr>
        <w:pStyle w:val="ListParagraph"/>
        <w:numPr>
          <w:ilvl w:val="1"/>
          <w:numId w:val="3"/>
        </w:numPr>
        <w:spacing w:after="0"/>
        <w:ind w:left="1434" w:hanging="357"/>
        <w:rPr>
          <w:rFonts w:ascii="FlandersArtSans-Regular" w:hAnsi="FlandersArtSans-Regular" w:cs="Arial"/>
          <w:sz w:val="20"/>
          <w:szCs w:val="20"/>
          <w:lang w:val="nl-BE"/>
        </w:rPr>
      </w:pPr>
      <w:r>
        <w:rPr>
          <w:rFonts w:ascii="FlandersArtSans-Regular" w:hAnsi="FlandersArtSans-Regular" w:cs="Arial"/>
          <w:sz w:val="20"/>
          <w:szCs w:val="20"/>
          <w:lang w:val="nl-BE"/>
        </w:rPr>
        <w:t xml:space="preserve">8 van de toptien handelspartners zijn EU-landen, met enkel de Verenigde Staten en China als “verre” handelsrelaties buiten de EU. </w:t>
      </w:r>
    </w:p>
    <w:p>
      <w:pPr>
        <w:pStyle w:val="ListParagraph"/>
        <w:rPr>
          <w:rFonts w:cs="Arial"/>
          <w:sz w:val="20"/>
          <w:szCs w:val="20"/>
          <w:lang w:val="nl-BE"/>
        </w:rPr>
      </w:pPr>
    </w:p>
    <w:p>
      <w:pPr>
        <w:pStyle w:val="ListParagraph"/>
        <w:jc w:val="center"/>
        <w:rPr>
          <w:rFonts w:cs="Arial"/>
          <w:sz w:val="20"/>
          <w:szCs w:val="20"/>
          <w:lang w:val="nl-BE"/>
        </w:rPr>
      </w:pPr>
      <w:r>
        <w:rPr>
          <w:noProof/>
        </w:rPr>
        <w:drawing>
          <wp:inline distT="0" distB="0" distL="0" distR="0">
            <wp:extent cx="5265420" cy="3200400"/>
            <wp:effectExtent l="0" t="0" r="0" b="0"/>
            <wp:docPr id="18" name="Chart 18">
              <a:extLst xmlns:a="http://schemas.openxmlformats.org/drawingml/2006/main">
                <a:ext uri="{FF2B5EF4-FFF2-40B4-BE49-F238E27FC236}">
                  <a16:creationId xmlns:a16="http://schemas.microsoft.com/office/drawing/2014/main" id="{7150453E-AC8A-4577-81D9-D6FEC651E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rPr>
          <w:rFonts w:ascii="Arial" w:hAnsi="Arial" w:cs="Arial"/>
          <w:sz w:val="20"/>
          <w:szCs w:val="20"/>
          <w:lang w:val="nl-BE"/>
        </w:rPr>
      </w:pPr>
      <w:r>
        <w:rPr>
          <w:rFonts w:ascii="Arial" w:hAnsi="Arial" w:cs="Arial"/>
          <w:sz w:val="20"/>
          <w:szCs w:val="20"/>
          <w:lang w:val="nl-BE"/>
        </w:rPr>
        <w:br w:type="page"/>
      </w:r>
    </w:p>
    <w:p>
      <w:pPr>
        <w:pStyle w:val="ListParagraph"/>
        <w:numPr>
          <w:ilvl w:val="0"/>
          <w:numId w:val="3"/>
        </w:numPr>
        <w:ind w:left="426"/>
        <w:rPr>
          <w:rFonts w:ascii="Arial" w:hAnsi="Arial" w:cs="Arial"/>
          <w:sz w:val="20"/>
          <w:szCs w:val="20"/>
          <w:lang w:val="nl-BE"/>
        </w:rPr>
      </w:pPr>
      <w:r>
        <w:rPr>
          <w:rFonts w:ascii="FlandersArtSans-Regular" w:hAnsi="FlandersArtSans-Regular" w:cs="Arial"/>
          <w:b/>
          <w:sz w:val="20"/>
          <w:szCs w:val="20"/>
          <w:lang w:val="nl-BE"/>
        </w:rPr>
        <w:lastRenderedPageBreak/>
        <w:t>VLAAMSE HANDELSBALANS</w:t>
      </w:r>
      <w:r>
        <w:rPr>
          <w:rFonts w:ascii="FlandersArtSans-Regular" w:hAnsi="FlandersArtSans-Regular" w:cs="Arial"/>
          <w:sz w:val="20"/>
          <w:szCs w:val="20"/>
          <w:lang w:val="nl-BE"/>
        </w:rPr>
        <w:t>: tekorten en overschotten</w:t>
      </w:r>
    </w:p>
    <w:p>
      <w:pPr>
        <w:pStyle w:val="ListParagraph"/>
        <w:spacing w:after="0" w:line="240" w:lineRule="auto"/>
        <w:rPr>
          <w:rFonts w:ascii="FlandersArtSans-Regular" w:hAnsi="FlandersArtSans-Regular"/>
          <w:lang w:val="nl-BE"/>
        </w:rPr>
      </w:pPr>
    </w:p>
    <w:p>
      <w:pPr>
        <w:pStyle w:val="ListParagraph"/>
        <w:spacing w:after="0" w:line="260" w:lineRule="atLeast"/>
        <w:rPr>
          <w:rFonts w:ascii="FlandersArtSans-Regular" w:hAnsi="FlandersArtSans-Regular"/>
          <w:sz w:val="20"/>
          <w:szCs w:val="20"/>
          <w:lang w:val="nl-BE"/>
        </w:rPr>
      </w:pPr>
      <w:r>
        <w:rPr>
          <w:rFonts w:ascii="FlandersArtSans-Regular" w:hAnsi="FlandersArtSans-Regular"/>
          <w:sz w:val="20"/>
          <w:szCs w:val="20"/>
          <w:lang w:val="nl-BE"/>
        </w:rPr>
        <w:t xml:space="preserve">In Vlaanderen nam in 2017 de waarde van de import van </w:t>
      </w:r>
      <w:r>
        <w:rPr>
          <w:rFonts w:ascii="FlandersArtSans-Regular" w:hAnsi="FlandersArtSans-Regular"/>
          <w:i/>
          <w:sz w:val="20"/>
          <w:szCs w:val="20"/>
          <w:lang w:val="nl-BE"/>
        </w:rPr>
        <w:t>minerale brandstoffen</w:t>
      </w:r>
      <w:r>
        <w:rPr>
          <w:rFonts w:ascii="FlandersArtSans-Regular" w:hAnsi="FlandersArtSans-Regular"/>
          <w:sz w:val="20"/>
          <w:szCs w:val="20"/>
          <w:lang w:val="nl-BE"/>
        </w:rPr>
        <w:t xml:space="preserve"> toe tot € 41 miljard, een stijging met 23,5%.</w:t>
      </w:r>
      <w:r>
        <w:rPr>
          <w:rFonts w:ascii="FlandersArtSans-Regular" w:hAnsi="FlandersArtSans-Regular"/>
          <w:i/>
          <w:sz w:val="20"/>
          <w:szCs w:val="20"/>
          <w:lang w:val="nl-BE"/>
        </w:rPr>
        <w:t xml:space="preserve"> </w:t>
      </w:r>
      <w:r>
        <w:rPr>
          <w:rFonts w:ascii="FlandersArtSans-Regular" w:hAnsi="FlandersArtSans-Regular"/>
          <w:sz w:val="20"/>
          <w:szCs w:val="20"/>
          <w:lang w:val="nl-BE"/>
        </w:rPr>
        <w:t xml:space="preserve">Vooral in de handelsbalans met onze topleverancier </w:t>
      </w:r>
      <w:r>
        <w:rPr>
          <w:rFonts w:ascii="FlandersArtSans-Regular" w:hAnsi="FlandersArtSans-Regular"/>
          <w:b/>
          <w:sz w:val="20"/>
          <w:szCs w:val="20"/>
          <w:lang w:val="nl-BE"/>
        </w:rPr>
        <w:t xml:space="preserve">Nederland </w:t>
      </w:r>
      <w:r>
        <w:rPr>
          <w:rFonts w:ascii="FlandersArtSans-Regular" w:hAnsi="FlandersArtSans-Regular"/>
          <w:sz w:val="20"/>
          <w:szCs w:val="20"/>
          <w:lang w:val="nl-BE"/>
        </w:rPr>
        <w:t>komen geïmporteerde energieproducten zeer nadrukkelijk voor in het verhaal. Een idee van de impact van die “invoerenergie” op de balans met Nederland: mochten we in onze handelsrelatie met Nederland de energiehandel buiten beschouwing laten, dan zou in 2017 de handelsbalans met onze Noorderburen niet € 13,8 miljard in ons nadeel zijn doorgeslagen, maar slechts voor € 1,8 miljard in het rood hebben gestaan. Dat “energie-invoereffect” weegt trouwens niet alleen op onze handelsbalans met Nederland en met andere belangrijke energieleveranciers, maar heeft zeker ook repercussies op onze globale handelsprestaties. Als we de post ‘minerale brandstoffen, aardolie en distillatieproducten’ niet meenemen in de becijfering van import en export, dan zou Vlaanderen in 2017 een nóg groter handelsoverschot hebben geboekt van € 31,6 miljard i.p.v. de € 17,7 miljard overschot met de energieproducten erbij.</w:t>
      </w:r>
    </w:p>
    <w:p>
      <w:pPr>
        <w:pStyle w:val="ListParagraph"/>
        <w:spacing w:line="240" w:lineRule="auto"/>
        <w:jc w:val="center"/>
        <w:rPr>
          <w:rFonts w:ascii="Arial" w:hAnsi="Arial" w:cs="Arial"/>
          <w:sz w:val="20"/>
          <w:szCs w:val="20"/>
          <w:lang w:val="nl-BE"/>
        </w:rPr>
      </w:pPr>
      <w:r>
        <w:rPr>
          <w:noProof/>
        </w:rPr>
        <w:drawing>
          <wp:inline distT="0" distB="0" distL="0" distR="0">
            <wp:extent cx="4076700" cy="3832860"/>
            <wp:effectExtent l="0" t="0" r="0" b="0"/>
            <wp:docPr id="19" name="Chart 19">
              <a:extLst xmlns:a="http://schemas.openxmlformats.org/drawingml/2006/main">
                <a:ext uri="{FF2B5EF4-FFF2-40B4-BE49-F238E27FC236}">
                  <a16:creationId xmlns:a16="http://schemas.microsoft.com/office/drawing/2014/main" id="{A9906A71-1B5E-4E61-80D0-F3FA630E5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ListParagraph"/>
        <w:spacing w:line="240" w:lineRule="auto"/>
        <w:jc w:val="center"/>
        <w:rPr>
          <w:rFonts w:ascii="Arial" w:hAnsi="Arial" w:cs="Arial"/>
          <w:sz w:val="20"/>
          <w:szCs w:val="20"/>
          <w:lang w:val="nl-BE"/>
        </w:rPr>
      </w:pPr>
      <w:r>
        <w:rPr>
          <w:noProof/>
        </w:rPr>
        <w:drawing>
          <wp:inline distT="0" distB="0" distL="0" distR="0">
            <wp:extent cx="5753100" cy="3154680"/>
            <wp:effectExtent l="0" t="0" r="0" b="7620"/>
            <wp:docPr id="20" name="Chart 20">
              <a:extLst xmlns:a="http://schemas.openxmlformats.org/drawingml/2006/main">
                <a:ext uri="{FF2B5EF4-FFF2-40B4-BE49-F238E27FC236}">
                  <a16:creationId xmlns:a16="http://schemas.microsoft.com/office/drawing/2014/main" id="{6CE4D6A2-482B-49DE-BBE7-B36BA8036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ListParagraph"/>
        <w:spacing w:before="240" w:after="0" w:line="240" w:lineRule="auto"/>
        <w:rPr>
          <w:rFonts w:ascii="FlandersArtSans-Regular" w:hAnsi="FlandersArtSans-Regular"/>
          <w:sz w:val="20"/>
          <w:szCs w:val="20"/>
          <w:lang w:val="nl-BE"/>
        </w:rPr>
      </w:pPr>
      <w:r>
        <w:rPr>
          <w:rFonts w:ascii="FlandersArtSans-Regular" w:hAnsi="FlandersArtSans-Regular"/>
          <w:sz w:val="20"/>
          <w:szCs w:val="20"/>
          <w:lang w:val="nl-BE"/>
        </w:rPr>
        <w:t xml:space="preserve">Met aloude klanten binnen de EU genereert onze regio vooral al al langer stevige </w:t>
      </w:r>
      <w:r>
        <w:rPr>
          <w:rFonts w:ascii="FlandersArtSans-Regular" w:hAnsi="FlandersArtSans-Regular"/>
          <w:b/>
          <w:sz w:val="20"/>
          <w:szCs w:val="20"/>
          <w:lang w:val="nl-BE"/>
        </w:rPr>
        <w:t>overschotten</w:t>
      </w:r>
      <w:r>
        <w:rPr>
          <w:rFonts w:ascii="FlandersArtSans-Regular" w:hAnsi="FlandersArtSans-Regular"/>
          <w:sz w:val="20"/>
          <w:szCs w:val="20"/>
          <w:lang w:val="nl-BE"/>
        </w:rPr>
        <w:t xml:space="preserve"> én dat met een meer gevarieerd pakket aan exportproducten: Duitsland (€ 18,0 miljard), Frankrijk (€ 14,8 miljard), het Verenigd Koninkrijk (€</w:t>
      </w:r>
      <w:r>
        <w:rPr>
          <w:rFonts w:ascii="Cambria" w:hAnsi="Cambria" w:cs="Cambria"/>
          <w:sz w:val="20"/>
          <w:szCs w:val="20"/>
          <w:lang w:val="nl-BE"/>
        </w:rPr>
        <w:t> </w:t>
      </w:r>
      <w:r>
        <w:rPr>
          <w:rFonts w:ascii="FlandersArtSans-Regular" w:hAnsi="FlandersArtSans-Regular"/>
          <w:sz w:val="20"/>
          <w:szCs w:val="20"/>
          <w:lang w:val="nl-BE"/>
        </w:rPr>
        <w:t>12,6 miljard) en Itali</w:t>
      </w:r>
      <w:r>
        <w:rPr>
          <w:rFonts w:ascii="FlandersArtSans-Regular" w:hAnsi="FlandersArtSans-Regular" w:cs="FlandersArtSans-Regular"/>
          <w:sz w:val="20"/>
          <w:szCs w:val="20"/>
          <w:lang w:val="nl-BE"/>
        </w:rPr>
        <w:t>ë</w:t>
      </w:r>
      <w:r>
        <w:rPr>
          <w:rFonts w:ascii="FlandersArtSans-Regular" w:hAnsi="FlandersArtSans-Regular"/>
          <w:sz w:val="20"/>
          <w:szCs w:val="20"/>
          <w:lang w:val="nl-BE"/>
        </w:rPr>
        <w:t xml:space="preserve"> (</w:t>
      </w:r>
      <w:r>
        <w:rPr>
          <w:rFonts w:ascii="FlandersArtSans-Regular" w:hAnsi="FlandersArtSans-Regular" w:cs="FlandersArtSans-Regular"/>
          <w:sz w:val="20"/>
          <w:szCs w:val="20"/>
          <w:lang w:val="nl-BE"/>
        </w:rPr>
        <w:t>€</w:t>
      </w:r>
      <w:r>
        <w:rPr>
          <w:rFonts w:ascii="FlandersArtSans-Regular" w:hAnsi="FlandersArtSans-Regular"/>
          <w:sz w:val="20"/>
          <w:szCs w:val="20"/>
          <w:lang w:val="nl-BE"/>
        </w:rPr>
        <w:t xml:space="preserve"> 7,2 miljard). Pas daarna duikt de eerste niet-EU-klant op, India (€</w:t>
      </w:r>
      <w:r>
        <w:rPr>
          <w:rFonts w:ascii="Cambria" w:hAnsi="Cambria" w:cs="Cambria"/>
          <w:sz w:val="20"/>
          <w:szCs w:val="20"/>
          <w:lang w:val="nl-BE"/>
        </w:rPr>
        <w:t> </w:t>
      </w:r>
      <w:r>
        <w:rPr>
          <w:rFonts w:ascii="FlandersArtSans-Regular" w:hAnsi="FlandersArtSans-Regular"/>
          <w:sz w:val="20"/>
          <w:szCs w:val="20"/>
          <w:lang w:val="nl-BE"/>
        </w:rPr>
        <w:t xml:space="preserve">3,1 miljard - </w:t>
      </w:r>
      <w:r>
        <w:rPr>
          <w:rFonts w:ascii="FlandersArtSans-Regular" w:hAnsi="FlandersArtSans-Regular"/>
          <w:i/>
          <w:sz w:val="20"/>
          <w:szCs w:val="20"/>
          <w:lang w:val="nl-BE"/>
        </w:rPr>
        <w:t>diamant</w:t>
      </w:r>
      <w:r>
        <w:rPr>
          <w:rFonts w:ascii="FlandersArtSans-Regular" w:hAnsi="FlandersArtSans-Regular"/>
          <w:sz w:val="20"/>
          <w:szCs w:val="20"/>
          <w:lang w:val="nl-BE"/>
        </w:rPr>
        <w:t>). Iets verderop volgen ook nog Zwitserland (</w:t>
      </w:r>
      <w:r>
        <w:rPr>
          <w:rFonts w:ascii="FlandersArtSans-Regular" w:hAnsi="FlandersArtSans-Regular" w:cs="FlandersArtSans-Regular"/>
          <w:sz w:val="20"/>
          <w:szCs w:val="20"/>
          <w:lang w:val="nl-BE"/>
        </w:rPr>
        <w:t>€</w:t>
      </w:r>
      <w:r>
        <w:rPr>
          <w:rFonts w:ascii="FlandersArtSans-Regular" w:hAnsi="FlandersArtSans-Regular"/>
          <w:sz w:val="20"/>
          <w:szCs w:val="20"/>
          <w:lang w:val="nl-BE"/>
        </w:rPr>
        <w:t xml:space="preserve"> 2,6 miljard) en Nigeria (€ 2,2 miljard).</w:t>
      </w:r>
    </w:p>
    <w:p>
      <w:pPr>
        <w:pStyle w:val="ListParagraph"/>
        <w:spacing w:line="240" w:lineRule="auto"/>
        <w:jc w:val="center"/>
        <w:rPr>
          <w:rFonts w:ascii="Arial" w:hAnsi="Arial" w:cs="Arial"/>
          <w:sz w:val="20"/>
          <w:szCs w:val="20"/>
          <w:lang w:val="nl-BE"/>
        </w:rPr>
      </w:pPr>
      <w:r>
        <w:rPr>
          <w:noProof/>
        </w:rPr>
        <w:lastRenderedPageBreak/>
        <w:drawing>
          <wp:inline distT="0" distB="0" distL="0" distR="0">
            <wp:extent cx="4312920" cy="3291840"/>
            <wp:effectExtent l="0" t="0" r="0" b="3810"/>
            <wp:docPr id="21" name="Chart 21">
              <a:extLst xmlns:a="http://schemas.openxmlformats.org/drawingml/2006/main">
                <a:ext uri="{FF2B5EF4-FFF2-40B4-BE49-F238E27FC236}">
                  <a16:creationId xmlns:a16="http://schemas.microsoft.com/office/drawing/2014/main" id="{DF007DFA-138D-41B7-8519-EDA95914F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ListParagraph"/>
        <w:spacing w:line="240" w:lineRule="auto"/>
        <w:rPr>
          <w:rFonts w:ascii="FlandersArtSans-Regular" w:hAnsi="FlandersArtSans-Regular"/>
          <w:lang w:val="nl-BE"/>
        </w:rPr>
      </w:pPr>
    </w:p>
    <w:p>
      <w:pPr>
        <w:pStyle w:val="ListParagraph"/>
        <w:spacing w:line="240" w:lineRule="auto"/>
        <w:rPr>
          <w:rFonts w:ascii="FlandersArtSans-Regular" w:hAnsi="FlandersArtSans-Regular"/>
          <w:sz w:val="20"/>
          <w:szCs w:val="20"/>
          <w:lang w:val="nl-BE"/>
        </w:rPr>
      </w:pPr>
      <w:r>
        <w:rPr>
          <w:rFonts w:ascii="FlandersArtSans-Regular" w:hAnsi="FlandersArtSans-Regular"/>
          <w:sz w:val="20"/>
          <w:szCs w:val="20"/>
          <w:lang w:val="nl-BE"/>
        </w:rPr>
        <w:t xml:space="preserve">Aanzienlijke </w:t>
      </w:r>
      <w:r>
        <w:rPr>
          <w:rFonts w:ascii="FlandersArtSans-Regular" w:hAnsi="FlandersArtSans-Regular"/>
          <w:b/>
          <w:sz w:val="20"/>
          <w:szCs w:val="20"/>
          <w:lang w:val="nl-BE"/>
        </w:rPr>
        <w:t>tekorten</w:t>
      </w:r>
      <w:r>
        <w:rPr>
          <w:rFonts w:ascii="FlandersArtSans-Regular" w:hAnsi="FlandersArtSans-Regular"/>
          <w:sz w:val="20"/>
          <w:szCs w:val="20"/>
          <w:lang w:val="nl-BE"/>
        </w:rPr>
        <w:t xml:space="preserve"> op de handelsbalans zijn er met Nederland (€ -13,8 miljard — </w:t>
      </w:r>
      <w:r>
        <w:rPr>
          <w:rFonts w:ascii="FlandersArtSans-Regular" w:hAnsi="FlandersArtSans-Regular"/>
          <w:i/>
          <w:sz w:val="20"/>
          <w:szCs w:val="20"/>
          <w:lang w:val="nl-BE"/>
        </w:rPr>
        <w:t>energieproducten</w:t>
      </w:r>
      <w:r>
        <w:rPr>
          <w:rFonts w:ascii="FlandersArtSans-Regular" w:hAnsi="FlandersArtSans-Regular"/>
          <w:sz w:val="20"/>
          <w:szCs w:val="20"/>
          <w:lang w:val="nl-BE"/>
        </w:rPr>
        <w:t xml:space="preserve">; zie hoger), Ierland (€ -10,4 miljard, </w:t>
      </w:r>
      <w:r>
        <w:rPr>
          <w:rFonts w:ascii="FlandersArtSans-Regular" w:hAnsi="FlandersArtSans-Regular"/>
          <w:i/>
          <w:sz w:val="20"/>
          <w:szCs w:val="20"/>
          <w:lang w:val="nl-BE"/>
        </w:rPr>
        <w:t>chemie/farma</w:t>
      </w:r>
      <w:r>
        <w:rPr>
          <w:rFonts w:ascii="FlandersArtSans-Regular" w:hAnsi="FlandersArtSans-Regular"/>
          <w:sz w:val="20"/>
          <w:szCs w:val="20"/>
          <w:lang w:val="nl-BE"/>
        </w:rPr>
        <w:t xml:space="preserve">), de Verenigde Staten (€ -7,2 miljard), China (€ -5,8 miljard), Japan </w:t>
      </w:r>
      <w:r>
        <w:rPr>
          <w:rFonts w:ascii="FlandersArtSans-Regular" w:hAnsi="FlandersArtSans-Regular"/>
          <w:sz w:val="20"/>
          <w:szCs w:val="20"/>
          <w:lang w:val="nl-BE"/>
        </w:rPr>
        <w:br/>
        <w:t>(€ -5,5 miljard) en Rusland (€ -4,9 miljard) en Singapore (€</w:t>
      </w:r>
      <w:r>
        <w:rPr>
          <w:rFonts w:ascii="Cambria" w:hAnsi="Cambria" w:cs="Cambria"/>
          <w:sz w:val="20"/>
          <w:szCs w:val="20"/>
          <w:lang w:val="nl-BE"/>
        </w:rPr>
        <w:t> -</w:t>
      </w:r>
      <w:r>
        <w:rPr>
          <w:rFonts w:ascii="FlandersArtSans-Regular" w:hAnsi="FlandersArtSans-Regular"/>
          <w:sz w:val="20"/>
          <w:szCs w:val="20"/>
          <w:lang w:val="nl-BE"/>
        </w:rPr>
        <w:t>3,0</w:t>
      </w:r>
      <w:r>
        <w:rPr>
          <w:rFonts w:ascii="Cambria" w:hAnsi="Cambria" w:cs="Cambria"/>
          <w:sz w:val="20"/>
          <w:szCs w:val="20"/>
          <w:lang w:val="nl-BE"/>
        </w:rPr>
        <w:t> </w:t>
      </w:r>
      <w:r>
        <w:rPr>
          <w:rFonts w:ascii="FlandersArtSans-Regular" w:hAnsi="FlandersArtSans-Regular"/>
          <w:sz w:val="20"/>
          <w:szCs w:val="20"/>
          <w:lang w:val="nl-BE"/>
        </w:rPr>
        <w:t>miljard).</w:t>
      </w:r>
    </w:p>
    <w:p>
      <w:pPr>
        <w:pStyle w:val="ListParagraph"/>
        <w:spacing w:line="240" w:lineRule="auto"/>
        <w:rPr>
          <w:rFonts w:ascii="FlandersArtSans-Regular" w:hAnsi="FlandersArtSans-Regular"/>
          <w:lang w:val="nl-BE"/>
        </w:rPr>
      </w:pPr>
    </w:p>
    <w:p>
      <w:pPr>
        <w:pStyle w:val="ListParagraph"/>
        <w:spacing w:line="240" w:lineRule="auto"/>
        <w:jc w:val="center"/>
        <w:rPr>
          <w:rFonts w:ascii="Arial" w:hAnsi="Arial" w:cs="Arial"/>
          <w:sz w:val="20"/>
          <w:szCs w:val="20"/>
          <w:lang w:val="nl-BE"/>
        </w:rPr>
      </w:pPr>
      <w:r>
        <w:rPr>
          <w:noProof/>
        </w:rPr>
        <w:drawing>
          <wp:inline distT="0" distB="0" distL="0" distR="0">
            <wp:extent cx="5516880" cy="3192780"/>
            <wp:effectExtent l="0" t="0" r="7620" b="7620"/>
            <wp:docPr id="11" name="Chart 11">
              <a:extLst xmlns:a="http://schemas.openxmlformats.org/drawingml/2006/main">
                <a:ext uri="{FF2B5EF4-FFF2-40B4-BE49-F238E27FC236}">
                  <a16:creationId xmlns:a16="http://schemas.microsoft.com/office/drawing/2014/main" id="{F2937F82-24EE-4FCB-AA09-A0848D2EA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autoSpaceDE w:val="0"/>
        <w:autoSpaceDN w:val="0"/>
        <w:adjustRightInd w:val="0"/>
        <w:jc w:val="center"/>
        <w:rPr>
          <w:rFonts w:ascii="FlandersArtSans-Regular" w:hAnsi="FlandersArtSans-Regular" w:cs="Tahoma"/>
          <w:sz w:val="16"/>
          <w:szCs w:val="16"/>
          <w:lang w:val="nl-BE"/>
        </w:rPr>
      </w:pPr>
      <w:r>
        <w:rPr>
          <w:rFonts w:ascii="FlandersArtSans-Regular" w:hAnsi="FlandersArtSans-Regular" w:cs="Tahoma"/>
          <w:b/>
          <w:sz w:val="16"/>
          <w:szCs w:val="16"/>
          <w:lang w:val="nl-BE"/>
        </w:rPr>
        <w:t>BRON:</w:t>
      </w:r>
      <w:r>
        <w:rPr>
          <w:rFonts w:ascii="FlandersArtSans-Regular" w:hAnsi="FlandersArtSans-Regular" w:cs="Tahoma"/>
          <w:sz w:val="16"/>
          <w:szCs w:val="16"/>
          <w:lang w:val="nl-BE"/>
        </w:rPr>
        <w:t xml:space="preserve"> Instituut voor de Nationale Rekeningen (NBB), verwerking Cel Kennisopbouw FIT</w:t>
      </w:r>
    </w:p>
    <w:p>
      <w:pPr>
        <w:autoSpaceDE w:val="0"/>
        <w:autoSpaceDN w:val="0"/>
        <w:adjustRightInd w:val="0"/>
        <w:jc w:val="center"/>
        <w:rPr>
          <w:rFonts w:ascii="FlandersArtSans-Regular" w:hAnsi="FlandersArtSans-Regular" w:cs="Tahoma"/>
          <w:sz w:val="16"/>
          <w:szCs w:val="16"/>
          <w:lang w:val="nl-BE"/>
        </w:rPr>
      </w:pPr>
    </w:p>
    <w:p>
      <w:pPr>
        <w:autoSpaceDE w:val="0"/>
        <w:autoSpaceDN w:val="0"/>
        <w:adjustRightInd w:val="0"/>
        <w:rPr>
          <w:rFonts w:ascii="FlandersArtSans-Regular" w:hAnsi="FlandersArtSans-Regular" w:cs="Tahoma"/>
          <w:sz w:val="16"/>
          <w:szCs w:val="16"/>
          <w:lang w:val="nl-BE"/>
        </w:rPr>
      </w:pPr>
      <w:r>
        <w:rPr>
          <w:rFonts w:ascii="FlandersArtSans-Regular" w:hAnsi="FlandersArtSans-Regular" w:cs="Tahoma"/>
          <w:b/>
          <w:sz w:val="16"/>
          <w:szCs w:val="16"/>
          <w:lang w:val="nl-BE"/>
        </w:rPr>
        <w:t>N.B.:</w:t>
      </w:r>
      <w:r>
        <w:rPr>
          <w:rFonts w:ascii="FlandersArtSans-Regular" w:hAnsi="FlandersArtSans-Regular" w:cs="Tahoma"/>
          <w:sz w:val="16"/>
          <w:szCs w:val="16"/>
          <w:lang w:val="nl-BE"/>
        </w:rPr>
        <w:t xml:space="preserve"> Deze - volgens het communautaire concept opgestelde - cijfers zijn voorlopig en dus voor herziening vatbaar. Het nationale concept is gebaseerd op de eigendomsoverdracht tussen een ingezetene en een niet-ingezetene, terwijl het communautaire concept gebaseerd is op het overschrijden van de landsgrens door de goederen. De totalen voor de intra-EU handel bevatten de handel met de 27 andere EU-lidstaten.</w:t>
      </w:r>
    </w:p>
    <w:sectPr>
      <w:pgSz w:w="11907" w:h="16840"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2767F"/>
    <w:multiLevelType w:val="hybridMultilevel"/>
    <w:tmpl w:val="C6BE06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4436358"/>
    <w:multiLevelType w:val="hybridMultilevel"/>
    <w:tmpl w:val="F1921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37F4074"/>
    <w:multiLevelType w:val="hybridMultilevel"/>
    <w:tmpl w:val="95C652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98310A6"/>
    <w:multiLevelType w:val="hybridMultilevel"/>
    <w:tmpl w:val="E19E1B64"/>
    <w:lvl w:ilvl="0" w:tplc="08130001">
      <w:start w:val="1"/>
      <w:numFmt w:val="bullet"/>
      <w:lvlText w:val=""/>
      <w:lvlJc w:val="left"/>
      <w:pPr>
        <w:ind w:left="766" w:hanging="360"/>
      </w:pPr>
      <w:rPr>
        <w:rFonts w:ascii="Symbol" w:hAnsi="Symbol" w:hint="default"/>
      </w:rPr>
    </w:lvl>
    <w:lvl w:ilvl="1" w:tplc="08130003" w:tentative="1">
      <w:start w:val="1"/>
      <w:numFmt w:val="bullet"/>
      <w:lvlText w:val="o"/>
      <w:lvlJc w:val="left"/>
      <w:pPr>
        <w:ind w:left="1486" w:hanging="360"/>
      </w:pPr>
      <w:rPr>
        <w:rFonts w:ascii="Courier New" w:hAnsi="Courier New" w:cs="Courier New" w:hint="default"/>
      </w:rPr>
    </w:lvl>
    <w:lvl w:ilvl="2" w:tplc="08130005" w:tentative="1">
      <w:start w:val="1"/>
      <w:numFmt w:val="bullet"/>
      <w:lvlText w:val=""/>
      <w:lvlJc w:val="left"/>
      <w:pPr>
        <w:ind w:left="2206" w:hanging="360"/>
      </w:pPr>
      <w:rPr>
        <w:rFonts w:ascii="Wingdings" w:hAnsi="Wingdings" w:hint="default"/>
      </w:rPr>
    </w:lvl>
    <w:lvl w:ilvl="3" w:tplc="08130001" w:tentative="1">
      <w:start w:val="1"/>
      <w:numFmt w:val="bullet"/>
      <w:lvlText w:val=""/>
      <w:lvlJc w:val="left"/>
      <w:pPr>
        <w:ind w:left="2926" w:hanging="360"/>
      </w:pPr>
      <w:rPr>
        <w:rFonts w:ascii="Symbol" w:hAnsi="Symbol" w:hint="default"/>
      </w:rPr>
    </w:lvl>
    <w:lvl w:ilvl="4" w:tplc="08130003" w:tentative="1">
      <w:start w:val="1"/>
      <w:numFmt w:val="bullet"/>
      <w:lvlText w:val="o"/>
      <w:lvlJc w:val="left"/>
      <w:pPr>
        <w:ind w:left="3646" w:hanging="360"/>
      </w:pPr>
      <w:rPr>
        <w:rFonts w:ascii="Courier New" w:hAnsi="Courier New" w:cs="Courier New" w:hint="default"/>
      </w:rPr>
    </w:lvl>
    <w:lvl w:ilvl="5" w:tplc="08130005" w:tentative="1">
      <w:start w:val="1"/>
      <w:numFmt w:val="bullet"/>
      <w:lvlText w:val=""/>
      <w:lvlJc w:val="left"/>
      <w:pPr>
        <w:ind w:left="4366" w:hanging="360"/>
      </w:pPr>
      <w:rPr>
        <w:rFonts w:ascii="Wingdings" w:hAnsi="Wingdings" w:hint="default"/>
      </w:rPr>
    </w:lvl>
    <w:lvl w:ilvl="6" w:tplc="08130001" w:tentative="1">
      <w:start w:val="1"/>
      <w:numFmt w:val="bullet"/>
      <w:lvlText w:val=""/>
      <w:lvlJc w:val="left"/>
      <w:pPr>
        <w:ind w:left="5086" w:hanging="360"/>
      </w:pPr>
      <w:rPr>
        <w:rFonts w:ascii="Symbol" w:hAnsi="Symbol" w:hint="default"/>
      </w:rPr>
    </w:lvl>
    <w:lvl w:ilvl="7" w:tplc="08130003" w:tentative="1">
      <w:start w:val="1"/>
      <w:numFmt w:val="bullet"/>
      <w:lvlText w:val="o"/>
      <w:lvlJc w:val="left"/>
      <w:pPr>
        <w:ind w:left="5806" w:hanging="360"/>
      </w:pPr>
      <w:rPr>
        <w:rFonts w:ascii="Courier New" w:hAnsi="Courier New" w:cs="Courier New" w:hint="default"/>
      </w:rPr>
    </w:lvl>
    <w:lvl w:ilvl="8" w:tplc="08130005" w:tentative="1">
      <w:start w:val="1"/>
      <w:numFmt w:val="bullet"/>
      <w:lvlText w:val=""/>
      <w:lvlJc w:val="left"/>
      <w:pPr>
        <w:ind w:left="6526" w:hanging="360"/>
      </w:pPr>
      <w:rPr>
        <w:rFonts w:ascii="Wingdings" w:hAnsi="Wingdings" w:hint="default"/>
      </w:rPr>
    </w:lvl>
  </w:abstractNum>
  <w:abstractNum w:abstractNumId="4" w15:restartNumberingAfterBreak="0">
    <w:nsid w:val="4A17112C"/>
    <w:multiLevelType w:val="hybridMultilevel"/>
    <w:tmpl w:val="1AC67AFC"/>
    <w:lvl w:ilvl="0" w:tplc="7B027640">
      <w:start w:val="1"/>
      <w:numFmt w:val="bullet"/>
      <w:lvlText w:val=""/>
      <w:lvlJc w:val="left"/>
      <w:pPr>
        <w:ind w:left="720" w:hanging="360"/>
      </w:pPr>
      <w:rPr>
        <w:rFonts w:ascii="Symbol" w:hAnsi="Symbol" w:hint="default"/>
        <w:color w:val="000000" w:themeColor="text1"/>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DD927BE"/>
    <w:multiLevelType w:val="hybridMultilevel"/>
    <w:tmpl w:val="F9827A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6B02B26"/>
    <w:multiLevelType w:val="hybridMultilevel"/>
    <w:tmpl w:val="CC427C50"/>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69646F9D"/>
    <w:multiLevelType w:val="hybridMultilevel"/>
    <w:tmpl w:val="70A60D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4E4A28"/>
    <w:multiLevelType w:val="hybridMultilevel"/>
    <w:tmpl w:val="635ADBC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7"/>
  </w:num>
  <w:num w:numId="6">
    <w:abstractNumId w:val="6"/>
  </w:num>
  <w:num w:numId="7">
    <w:abstractNumId w:val="0"/>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BC8568-F007-4233-926F-D0456D5A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rvfp1\FinancienIT\Kennisbeheer\NC%20&amp;%20CC%202017\20180319%20-%20Grafieken_invoer_20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rvfp1\FinancienIT\Kennisbeheer\NC%20&amp;%20CC%202017\20180319%20-%20Grafieken_invoer_20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rvfp1\FinancienIT\Kennisbeheer\NC%20&amp;%20CC%202017\20180319%20-%20Grafieken_invoer_2017.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sz="1400" b="1">
                <a:solidFill>
                  <a:sysClr val="windowText" lastClr="000000"/>
                </a:solidFill>
                <a:latin typeface="FlandersArtSans-Regular" panose="00000500000000000000" pitchFamily="2" charset="0"/>
              </a:rPr>
              <a:t>TOP 10: VLAAMSE LEVERANCIERS IN 2017</a:t>
            </a:r>
          </a:p>
          <a:p>
            <a:pPr>
              <a:defRPr/>
            </a:pPr>
            <a:r>
              <a:rPr lang="nl-BE" sz="900" b="0">
                <a:solidFill>
                  <a:sysClr val="windowText" lastClr="000000"/>
                </a:solidFill>
                <a:latin typeface="FlandersArtSans-Light" panose="00000400000000000000" pitchFamily="2" charset="0"/>
              </a:rPr>
              <a:t>(rang als leverancier; in € miljard; % verandering t.o.v.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tx>
            <c:strRef>
              <c:f>Sheet19!$B$1</c:f>
              <c:strCache>
                <c:ptCount val="1"/>
                <c:pt idx="0">
                  <c:v>2017</c:v>
                </c:pt>
              </c:strCache>
            </c:strRef>
          </c:tx>
          <c:spPr>
            <a:solidFill>
              <a:schemeClr val="accent1"/>
            </a:solidFill>
            <a:ln>
              <a:noFill/>
            </a:ln>
            <a:effectLst/>
          </c:spPr>
          <c:invertIfNegative val="0"/>
          <c:dLbls>
            <c:dLbl>
              <c:idx val="0"/>
              <c:tx>
                <c:rich>
                  <a:bodyPr/>
                  <a:lstStyle/>
                  <a:p>
                    <a:r>
                      <a:rPr lang="en-US">
                        <a:solidFill>
                          <a:srgbClr val="FF0000"/>
                        </a:solidFill>
                      </a:rPr>
                      <a:t>-1,87%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C2-4348-B9FA-922AFA96EB21}"/>
                </c:ext>
              </c:extLst>
            </c:dLbl>
            <c:dLbl>
              <c:idx val="1"/>
              <c:tx>
                <c:rich>
                  <a:bodyPr/>
                  <a:lstStyle/>
                  <a:p>
                    <a:r>
                      <a:rPr lang="en-US"/>
                      <a:t>+4,88%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C2-4348-B9FA-922AFA96EB21}"/>
                </c:ext>
              </c:extLst>
            </c:dLbl>
            <c:dLbl>
              <c:idx val="2"/>
              <c:tx>
                <c:rich>
                  <a:bodyPr/>
                  <a:lstStyle/>
                  <a:p>
                    <a:r>
                      <a:rPr lang="en-US"/>
                      <a:t>+22,78%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C2-4348-B9FA-922AFA96EB21}"/>
                </c:ext>
              </c:extLst>
            </c:dLbl>
            <c:dLbl>
              <c:idx val="3"/>
              <c:tx>
                <c:rich>
                  <a:bodyPr/>
                  <a:lstStyle/>
                  <a:p>
                    <a:r>
                      <a:rPr lang="en-US">
                        <a:solidFill>
                          <a:srgbClr val="FF0000"/>
                        </a:solidFill>
                      </a:rPr>
                      <a:t>-5,59%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C2-4348-B9FA-922AFA96EB21}"/>
                </c:ext>
              </c:extLst>
            </c:dLbl>
            <c:dLbl>
              <c:idx val="4"/>
              <c:tx>
                <c:rich>
                  <a:bodyPr/>
                  <a:lstStyle/>
                  <a:p>
                    <a:r>
                      <a:rPr lang="en-US"/>
                      <a:t>+2,85%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C2-4348-B9FA-922AFA96EB21}"/>
                </c:ext>
              </c:extLst>
            </c:dLbl>
            <c:dLbl>
              <c:idx val="5"/>
              <c:tx>
                <c:rich>
                  <a:bodyPr/>
                  <a:lstStyle/>
                  <a:p>
                    <a:r>
                      <a:rPr lang="en-US"/>
                      <a:t>+6,92%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C2-4348-B9FA-922AFA96EB21}"/>
                </c:ext>
              </c:extLst>
            </c:dLbl>
            <c:dLbl>
              <c:idx val="6"/>
              <c:tx>
                <c:rich>
                  <a:bodyPr/>
                  <a:lstStyle/>
                  <a:p>
                    <a:r>
                      <a:rPr lang="en-US">
                        <a:solidFill>
                          <a:srgbClr val="FF0000"/>
                        </a:solidFill>
                      </a:rPr>
                      <a:t>-7,20%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C2-4348-B9FA-922AFA96EB21}"/>
                </c:ext>
              </c:extLst>
            </c:dLbl>
            <c:dLbl>
              <c:idx val="7"/>
              <c:tx>
                <c:rich>
                  <a:bodyPr/>
                  <a:lstStyle/>
                  <a:p>
                    <a:r>
                      <a:rPr lang="en-US"/>
                      <a:t>+5,05%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C2-4348-B9FA-922AFA96EB21}"/>
                </c:ext>
              </c:extLst>
            </c:dLbl>
            <c:dLbl>
              <c:idx val="8"/>
              <c:tx>
                <c:rich>
                  <a:bodyPr/>
                  <a:lstStyle/>
                  <a:p>
                    <a:r>
                      <a:rPr lang="en-US">
                        <a:solidFill>
                          <a:srgbClr val="FF0000"/>
                        </a:solidFill>
                      </a:rPr>
                      <a:t>-6,08%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C2-4348-B9FA-922AFA96EB21}"/>
                </c:ext>
              </c:extLst>
            </c:dLbl>
            <c:dLbl>
              <c:idx val="9"/>
              <c:tx>
                <c:rich>
                  <a:bodyPr/>
                  <a:lstStyle/>
                  <a:p>
                    <a:r>
                      <a:rPr lang="en-US"/>
                      <a:t>+9,71%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C2-4348-B9FA-922AFA96EB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Sheet19!$A$2:$A$11</c:f>
              <c:strCache>
                <c:ptCount val="10"/>
                <c:pt idx="0">
                  <c:v>(10) Italië</c:v>
                </c:pt>
                <c:pt idx="1">
                  <c:v>(9) Japan</c:v>
                </c:pt>
                <c:pt idx="2">
                  <c:v>(8) Rusland</c:v>
                </c:pt>
                <c:pt idx="3">
                  <c:v>(7) Ierland</c:v>
                </c:pt>
                <c:pt idx="4">
                  <c:v>(6) China</c:v>
                </c:pt>
                <c:pt idx="5">
                  <c:v>(5) Verenigd Koninkrijk</c:v>
                </c:pt>
                <c:pt idx="6">
                  <c:v>(4) Verenigde Staten</c:v>
                </c:pt>
                <c:pt idx="7">
                  <c:v>(3) Frankrijk</c:v>
                </c:pt>
                <c:pt idx="8">
                  <c:v>(2) Duitsland</c:v>
                </c:pt>
                <c:pt idx="9">
                  <c:v>(1) Nederland</c:v>
                </c:pt>
              </c:strCache>
            </c:strRef>
          </c:cat>
          <c:val>
            <c:numRef>
              <c:f>Sheet19!$B$2:$B$11</c:f>
              <c:numCache>
                <c:formatCode>[$-10407]#,##0;\(#,##0\)</c:formatCode>
                <c:ptCount val="10"/>
                <c:pt idx="0">
                  <c:v>8.3740145051799999</c:v>
                </c:pt>
                <c:pt idx="1">
                  <c:v>8.4375404935800002</c:v>
                </c:pt>
                <c:pt idx="2">
                  <c:v>8.454103193369999</c:v>
                </c:pt>
                <c:pt idx="3">
                  <c:v>12.09656781745</c:v>
                </c:pt>
                <c:pt idx="4">
                  <c:v>13.18125549112</c:v>
                </c:pt>
                <c:pt idx="5">
                  <c:v>15.23760815993</c:v>
                </c:pt>
                <c:pt idx="6">
                  <c:v>22.502626563740002</c:v>
                </c:pt>
                <c:pt idx="7">
                  <c:v>24.45553821623</c:v>
                </c:pt>
                <c:pt idx="8">
                  <c:v>35.254365047589999</c:v>
                </c:pt>
                <c:pt idx="9">
                  <c:v>53.633373304020004</c:v>
                </c:pt>
              </c:numCache>
            </c:numRef>
          </c:val>
          <c:extLst>
            <c:ext xmlns:c16="http://schemas.microsoft.com/office/drawing/2014/chart" uri="{C3380CC4-5D6E-409C-BE32-E72D297353CC}">
              <c16:uniqueId val="{0000000A-0DC2-4348-B9FA-922AFA96EB21}"/>
            </c:ext>
          </c:extLst>
        </c:ser>
        <c:dLbls>
          <c:showLegendKey val="0"/>
          <c:showVal val="0"/>
          <c:showCatName val="0"/>
          <c:showSerName val="0"/>
          <c:showPercent val="0"/>
          <c:showBubbleSize val="0"/>
        </c:dLbls>
        <c:gapWidth val="80"/>
        <c:axId val="1220124256"/>
        <c:axId val="1130108416"/>
      </c:barChart>
      <c:catAx>
        <c:axId val="122012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FlandersArtSans-Regular" panose="00000500000000000000" pitchFamily="2" charset="0"/>
                <a:ea typeface="+mn-ea"/>
                <a:cs typeface="+mn-cs"/>
              </a:defRPr>
            </a:pPr>
            <a:endParaRPr lang="nl-BE"/>
          </a:p>
        </c:txPr>
        <c:crossAx val="1130108416"/>
        <c:crosses val="autoZero"/>
        <c:auto val="1"/>
        <c:lblAlgn val="ctr"/>
        <c:lblOffset val="100"/>
        <c:noMultiLvlLbl val="0"/>
      </c:catAx>
      <c:valAx>
        <c:axId val="1130108416"/>
        <c:scaling>
          <c:orientation val="minMax"/>
        </c:scaling>
        <c:delete val="0"/>
        <c:axPos val="b"/>
        <c:majorGridlines>
          <c:spPr>
            <a:ln w="9525" cap="flat" cmpd="sng" algn="ctr">
              <a:solidFill>
                <a:schemeClr val="tx1">
                  <a:lumMod val="15000"/>
                  <a:lumOff val="85000"/>
                </a:schemeClr>
              </a:solidFill>
              <a:round/>
            </a:ln>
            <a:effectLst/>
          </c:spPr>
        </c:majorGridlines>
        <c:numFmt formatCode="[$-10407]#,##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FlandersArtSans-Regular" panose="00000500000000000000" pitchFamily="2" charset="0"/>
                <a:ea typeface="+mn-ea"/>
                <a:cs typeface="+mn-cs"/>
              </a:defRPr>
            </a:pPr>
            <a:endParaRPr lang="nl-BE"/>
          </a:p>
        </c:txPr>
        <c:crossAx val="1220124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FlandersArtSans-Regular" panose="00000500000000000000" pitchFamily="2" charset="0"/>
                <a:ea typeface="+mn-ea"/>
                <a:cs typeface="+mn-cs"/>
              </a:defRPr>
            </a:pPr>
            <a:r>
              <a:rPr lang="en-US" b="1">
                <a:solidFill>
                  <a:sysClr val="windowText" lastClr="000000"/>
                </a:solidFill>
                <a:latin typeface="FlandersArtSans-Regular" panose="00000500000000000000" pitchFamily="2" charset="0"/>
              </a:rPr>
              <a:t>TOP 10 VLAAMSE</a:t>
            </a:r>
            <a:r>
              <a:rPr lang="en-US" b="1" baseline="0">
                <a:solidFill>
                  <a:sysClr val="windowText" lastClr="000000"/>
                </a:solidFill>
                <a:latin typeface="FlandersArtSans-Regular" panose="00000500000000000000" pitchFamily="2" charset="0"/>
              </a:rPr>
              <a:t> INVOERPRODUCTEN IN </a:t>
            </a:r>
            <a:r>
              <a:rPr lang="en-US" b="1">
                <a:solidFill>
                  <a:sysClr val="windowText" lastClr="000000"/>
                </a:solidFill>
                <a:latin typeface="FlandersArtSans-Regular" panose="00000500000000000000" pitchFamily="2" charset="0"/>
              </a:rPr>
              <a:t>2017</a:t>
            </a:r>
          </a:p>
          <a:p>
            <a:pPr>
              <a:defRPr>
                <a:solidFill>
                  <a:sysClr val="windowText" lastClr="000000"/>
                </a:solidFill>
                <a:latin typeface="FlandersArtSans-Regular" panose="00000500000000000000" pitchFamily="2" charset="0"/>
              </a:defRPr>
            </a:pPr>
            <a:r>
              <a:rPr lang="en-US" sz="800" b="0">
                <a:solidFill>
                  <a:sysClr val="windowText" lastClr="000000"/>
                </a:solidFill>
                <a:latin typeface="FlandersArtSans-Regular" panose="00000500000000000000" pitchFamily="2" charset="0"/>
              </a:rPr>
              <a:t>(in € miljard en % verloop in vergelijking met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FlandersArtSans-Regular" panose="00000500000000000000" pitchFamily="2" charset="0"/>
              <a:ea typeface="+mn-ea"/>
              <a:cs typeface="+mn-cs"/>
            </a:defRPr>
          </a:pPr>
          <a:endParaRPr lang="nl-BE"/>
        </a:p>
      </c:txPr>
    </c:title>
    <c:autoTitleDeleted val="0"/>
    <c:plotArea>
      <c:layout/>
      <c:barChart>
        <c:barDir val="col"/>
        <c:grouping val="clustered"/>
        <c:varyColors val="0"/>
        <c:ser>
          <c:idx val="0"/>
          <c:order val="0"/>
          <c:tx>
            <c:strRef>
              <c:f>Sheet15!$B$1</c:f>
              <c:strCache>
                <c:ptCount val="1"/>
                <c:pt idx="0">
                  <c:v>2017</c:v>
                </c:pt>
              </c:strCache>
            </c:strRef>
          </c:tx>
          <c:spPr>
            <a:solidFill>
              <a:schemeClr val="accent1"/>
            </a:solidFill>
            <a:ln>
              <a:noFill/>
            </a:ln>
            <a:effectLst/>
          </c:spPr>
          <c:invertIfNegative val="0"/>
          <c:dLbls>
            <c:dLbl>
              <c:idx val="0"/>
              <c:layout>
                <c:manualLayout>
                  <c:x val="-2.3116042533518262E-3"/>
                  <c:y val="1.0416666666666666E-2"/>
                </c:manualLayout>
              </c:layout>
              <c:tx>
                <c:rich>
                  <a:bodyPr/>
                  <a:lstStyle/>
                  <a:p>
                    <a:r>
                      <a:rPr lang="en-US"/>
                      <a:t>+23,5%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C5-436C-A93C-C1E61C113362}"/>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FlandersArtSans-Regular" panose="00000500000000000000" pitchFamily="2" charset="0"/>
                        <a:ea typeface="+mn-ea"/>
                        <a:cs typeface="+mn-cs"/>
                      </a:defRPr>
                    </a:pPr>
                    <a:r>
                      <a:rPr lang="en-US">
                        <a:solidFill>
                          <a:srgbClr val="FF0000"/>
                        </a:solidFill>
                        <a:latin typeface="FlandersArtSans-Regular" panose="00000500000000000000" pitchFamily="2" charset="0"/>
                      </a:rPr>
                      <a:t>-6,83%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C5-436C-A93C-C1E61C113362}"/>
                </c:ext>
              </c:extLst>
            </c:dLbl>
            <c:dLbl>
              <c:idx val="2"/>
              <c:layout>
                <c:manualLayout>
                  <c:x val="2.3116042533517837E-3"/>
                  <c:y val="1.3888888888888857E-2"/>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C5-436C-A93C-C1E61C113362}"/>
                </c:ext>
              </c:extLst>
            </c:dLbl>
            <c:dLbl>
              <c:idx val="3"/>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C5-436C-A93C-C1E61C113362}"/>
                </c:ext>
              </c:extLst>
            </c:dLbl>
            <c:dLbl>
              <c:idx val="4"/>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FlandersArtSans-Regular" panose="00000500000000000000" pitchFamily="2" charset="0"/>
                        <a:ea typeface="+mn-ea"/>
                        <a:cs typeface="+mn-cs"/>
                      </a:defRPr>
                    </a:pPr>
                    <a:r>
                      <a:rPr lang="en-US">
                        <a:solidFill>
                          <a:srgbClr val="FF0000"/>
                        </a:solidFill>
                        <a:latin typeface="FlandersArtSans-Regular" panose="00000500000000000000" pitchFamily="2" charset="0"/>
                      </a:rPr>
                      <a:t>-12,3%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C5-436C-A93C-C1E61C113362}"/>
                </c:ext>
              </c:extLst>
            </c:dLbl>
            <c:dLbl>
              <c:idx val="5"/>
              <c:layout>
                <c:manualLayout>
                  <c:x val="0"/>
                  <c:y val="3.4722222222221587E-3"/>
                </c:manualLayout>
              </c:layout>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C5-436C-A93C-C1E61C113362}"/>
                </c:ext>
              </c:extLst>
            </c:dLbl>
            <c:dLbl>
              <c:idx val="6"/>
              <c:layout>
                <c:manualLayout>
                  <c:x val="-8.4757843493059586E-17"/>
                  <c:y val="6.9444444444443807E-3"/>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FlandersArtSans-Regular" panose="00000500000000000000" pitchFamily="2" charset="0"/>
                        <a:ea typeface="+mn-ea"/>
                        <a:cs typeface="+mn-cs"/>
                      </a:defRPr>
                    </a:pPr>
                    <a:r>
                      <a:rPr lang="en-US">
                        <a:solidFill>
                          <a:srgbClr val="FF0000"/>
                        </a:solidFill>
                        <a:latin typeface="FlandersArtSans-Regular" panose="00000500000000000000" pitchFamily="2" charset="0"/>
                      </a:rPr>
                      <a:t>-11,1%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C5-436C-A93C-C1E61C113362}"/>
                </c:ext>
              </c:extLst>
            </c:dLbl>
            <c:dLbl>
              <c:idx val="7"/>
              <c:layout>
                <c:manualLayout>
                  <c:x val="0"/>
                  <c:y val="-6.9444444444444441E-3"/>
                </c:manualLayout>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C5-436C-A93C-C1E61C113362}"/>
                </c:ext>
              </c:extLst>
            </c:dLbl>
            <c:dLbl>
              <c:idx val="8"/>
              <c:tx>
                <c:rich>
                  <a:bodyPr/>
                  <a:lstStyle/>
                  <a:p>
                    <a:r>
                      <a:rPr lang="en-US"/>
                      <a:t>+5,12%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C5-436C-A93C-C1E61C1133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Sheet15!$A$2:$A$10</c:f>
              <c:strCache>
                <c:ptCount val="9"/>
                <c:pt idx="0">
                  <c:v>Minerale brandstoffen, aardolie </c:v>
                </c:pt>
                <c:pt idx="1">
                  <c:v>Voertuigen </c:v>
                </c:pt>
                <c:pt idx="2">
                  <c:v>Organische chemische producten</c:v>
                </c:pt>
                <c:pt idx="3">
                  <c:v>Machines, mechanische werktuigen</c:v>
                </c:pt>
                <c:pt idx="4">
                  <c:v>Farmaceutische producten</c:v>
                </c:pt>
                <c:pt idx="5">
                  <c:v>Kunststof en toepassingen</c:v>
                </c:pt>
                <c:pt idx="6">
                  <c:v>Edelstenen, diamant </c:v>
                </c:pt>
                <c:pt idx="7">
                  <c:v>Elektrische machines, apparaten </c:v>
                </c:pt>
                <c:pt idx="8">
                  <c:v>Optische instrumenten, apparaten </c:v>
                </c:pt>
              </c:strCache>
            </c:strRef>
          </c:cat>
          <c:val>
            <c:numRef>
              <c:f>Sheet15!$B$2:$B$10</c:f>
              <c:numCache>
                <c:formatCode>[$-10407]#,##0.00;\(#,##0.00\)</c:formatCode>
                <c:ptCount val="9"/>
                <c:pt idx="0">
                  <c:v>41.016284836029996</c:v>
                </c:pt>
                <c:pt idx="1">
                  <c:v>38.314282478739997</c:v>
                </c:pt>
                <c:pt idx="2">
                  <c:v>26.571841826030003</c:v>
                </c:pt>
                <c:pt idx="3">
                  <c:v>24.371807642770001</c:v>
                </c:pt>
                <c:pt idx="4">
                  <c:v>18.91588640997</c:v>
                </c:pt>
                <c:pt idx="5">
                  <c:v>15.153953165559999</c:v>
                </c:pt>
                <c:pt idx="6">
                  <c:v>14.84036006465</c:v>
                </c:pt>
                <c:pt idx="7">
                  <c:v>12.571096270050001</c:v>
                </c:pt>
                <c:pt idx="8">
                  <c:v>7.7897860307200002</c:v>
                </c:pt>
              </c:numCache>
            </c:numRef>
          </c:val>
          <c:extLst>
            <c:ext xmlns:c16="http://schemas.microsoft.com/office/drawing/2014/chart" uri="{C3380CC4-5D6E-409C-BE32-E72D297353CC}">
              <c16:uniqueId val="{00000009-46C5-436C-A93C-C1E61C113362}"/>
            </c:ext>
          </c:extLst>
        </c:ser>
        <c:dLbls>
          <c:showLegendKey val="0"/>
          <c:showVal val="0"/>
          <c:showCatName val="0"/>
          <c:showSerName val="0"/>
          <c:showPercent val="0"/>
          <c:showBubbleSize val="0"/>
        </c:dLbls>
        <c:gapWidth val="100"/>
        <c:overlap val="-27"/>
        <c:axId val="541888191"/>
        <c:axId val="449785263"/>
      </c:barChart>
      <c:catAx>
        <c:axId val="541888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449785263"/>
        <c:crosses val="autoZero"/>
        <c:auto val="1"/>
        <c:lblAlgn val="ctr"/>
        <c:lblOffset val="100"/>
        <c:noMultiLvlLbl val="0"/>
      </c:catAx>
      <c:valAx>
        <c:axId val="449785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landersArtSans-Regular" panose="00000500000000000000" pitchFamily="2" charset="0"/>
                <a:ea typeface="+mn-ea"/>
                <a:cs typeface="+mn-cs"/>
              </a:defRPr>
            </a:pPr>
            <a:endParaRPr lang="nl-BE"/>
          </a:p>
        </c:txPr>
        <c:crossAx val="54188819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landersArtSans-Regular" panose="00000500000000000000" pitchFamily="2" charset="0"/>
                <a:ea typeface="+mn-ea"/>
                <a:cs typeface="+mn-cs"/>
              </a:defRPr>
            </a:pPr>
            <a:r>
              <a:rPr lang="en-US" b="1">
                <a:latin typeface="FlandersArtSans-Regular" panose="00000500000000000000" pitchFamily="2" charset="0"/>
              </a:rPr>
              <a:t>TOP 10 VLAAMSE HANDELSPARTNERS IN 2017</a:t>
            </a:r>
          </a:p>
          <a:p>
            <a:pPr>
              <a:defRPr>
                <a:latin typeface="FlandersArtSans-Regular" panose="00000500000000000000" pitchFamily="2" charset="0"/>
              </a:defRPr>
            </a:pPr>
            <a:r>
              <a:rPr lang="en-US" sz="800">
                <a:latin typeface="FlandersArtSans-Regular" panose="00000500000000000000" pitchFamily="2" charset="0"/>
              </a:rPr>
              <a:t>(invoer + uitvoer in € miljard)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landersArtSans-Regular" panose="00000500000000000000" pitchFamily="2" charset="0"/>
              <a:ea typeface="+mn-ea"/>
              <a:cs typeface="+mn-cs"/>
            </a:defRPr>
          </a:pPr>
          <a:endParaRPr lang="nl-BE"/>
        </a:p>
      </c:txPr>
    </c:title>
    <c:autoTitleDeleted val="0"/>
    <c:plotArea>
      <c:layout/>
      <c:barChart>
        <c:barDir val="bar"/>
        <c:grouping val="clustered"/>
        <c:varyColors val="0"/>
        <c:ser>
          <c:idx val="0"/>
          <c:order val="0"/>
          <c:tx>
            <c:strRef>
              <c:f>Sheet10!$B$1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Sheet10!$A$2:$A$11</c:f>
              <c:strCache>
                <c:ptCount val="10"/>
                <c:pt idx="0">
                  <c:v>(10) Zweden</c:v>
                </c:pt>
                <c:pt idx="1">
                  <c:v>(9) Ierland</c:v>
                </c:pt>
                <c:pt idx="2">
                  <c:v>(8) Spanje</c:v>
                </c:pt>
                <c:pt idx="3">
                  <c:v>(7) China</c:v>
                </c:pt>
                <c:pt idx="4">
                  <c:v>(6) Italië</c:v>
                </c:pt>
                <c:pt idx="5">
                  <c:v>(5) Verenigde Staten</c:v>
                </c:pt>
                <c:pt idx="6">
                  <c:v>(4) Verenigd Koninkrijk</c:v>
                </c:pt>
                <c:pt idx="7">
                  <c:v>(3) Frankrijk</c:v>
                </c:pt>
                <c:pt idx="8">
                  <c:v>(2) Duitsland</c:v>
                </c:pt>
                <c:pt idx="9">
                  <c:v>(1) Nederland</c:v>
                </c:pt>
              </c:strCache>
            </c:strRef>
          </c:cat>
          <c:val>
            <c:numRef>
              <c:f>Sheet10!$B$2:$B$11</c:f>
              <c:numCache>
                <c:formatCode>[$-10407]#,##0.00;\(#,##0.00\)</c:formatCode>
                <c:ptCount val="10"/>
                <c:pt idx="0">
                  <c:v>12.78341882628</c:v>
                </c:pt>
                <c:pt idx="1">
                  <c:v>13.80737563828</c:v>
                </c:pt>
                <c:pt idx="2">
                  <c:v>15.43750393084</c:v>
                </c:pt>
                <c:pt idx="3">
                  <c:v>20.530579655739999</c:v>
                </c:pt>
                <c:pt idx="4">
                  <c:v>23.913629588830002</c:v>
                </c:pt>
                <c:pt idx="5">
                  <c:v>37.78130081194</c:v>
                </c:pt>
                <c:pt idx="6">
                  <c:v>43.112985706869999</c:v>
                </c:pt>
                <c:pt idx="7">
                  <c:v>63.741567312739996</c:v>
                </c:pt>
                <c:pt idx="8">
                  <c:v>88.477687085370007</c:v>
                </c:pt>
                <c:pt idx="9">
                  <c:v>93.422479876840001</c:v>
                </c:pt>
              </c:numCache>
            </c:numRef>
          </c:val>
          <c:extLst>
            <c:ext xmlns:c16="http://schemas.microsoft.com/office/drawing/2014/chart" uri="{C3380CC4-5D6E-409C-BE32-E72D297353CC}">
              <c16:uniqueId val="{00000000-09C4-45A3-9333-7D2BDE7E1DFE}"/>
            </c:ext>
          </c:extLst>
        </c:ser>
        <c:dLbls>
          <c:showLegendKey val="0"/>
          <c:showVal val="0"/>
          <c:showCatName val="0"/>
          <c:showSerName val="0"/>
          <c:showPercent val="0"/>
          <c:showBubbleSize val="0"/>
        </c:dLbls>
        <c:gapWidth val="182"/>
        <c:axId val="1075987503"/>
        <c:axId val="979006367"/>
      </c:barChart>
      <c:catAx>
        <c:axId val="1075987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979006367"/>
        <c:crosses val="autoZero"/>
        <c:auto val="1"/>
        <c:lblAlgn val="ctr"/>
        <c:lblOffset val="100"/>
        <c:noMultiLvlLbl val="0"/>
      </c:catAx>
      <c:valAx>
        <c:axId val="979006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10759875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landersArtSans-Regular" panose="00000500000000000000" pitchFamily="2" charset="0"/>
                <a:ea typeface="+mn-ea"/>
                <a:cs typeface="+mn-cs"/>
              </a:defRPr>
            </a:pPr>
            <a:r>
              <a:rPr lang="en-US" b="1" baseline="0">
                <a:latin typeface="FlandersArtSans-Regular" panose="00000500000000000000" pitchFamily="2" charset="0"/>
              </a:rPr>
              <a:t>TOP 10 HANDELSOVERSCHOTTEN</a:t>
            </a:r>
            <a:r>
              <a:rPr lang="en-US" b="1">
                <a:latin typeface="FlandersArtSans-Regular" panose="00000500000000000000" pitchFamily="2" charset="0"/>
              </a:rPr>
              <a:t> IN 2017</a:t>
            </a:r>
          </a:p>
          <a:p>
            <a:pPr>
              <a:defRPr>
                <a:latin typeface="FlandersArtSans-Regular" panose="00000500000000000000" pitchFamily="2" charset="0"/>
              </a:defRPr>
            </a:pPr>
            <a:r>
              <a:rPr lang="en-US" sz="800" b="0">
                <a:latin typeface="FlandersArtSans-Regular" panose="00000500000000000000" pitchFamily="2" charset="0"/>
              </a:rPr>
              <a:t>(per land, in</a:t>
            </a:r>
            <a:r>
              <a:rPr lang="en-US" sz="800" b="0" baseline="0">
                <a:latin typeface="FlandersArtSans-Regular" panose="00000500000000000000" pitchFamily="2" charset="0"/>
              </a:rPr>
              <a:t> € miljard)</a:t>
            </a:r>
            <a:endParaRPr lang="en-US" sz="800" b="0">
              <a:latin typeface="FlandersArtSans-Regular" panose="00000500000000000000" pitchFamily="2" charset="0"/>
            </a:endParaRPr>
          </a:p>
        </c:rich>
      </c:tx>
      <c:layout>
        <c:manualLayout>
          <c:xMode val="edge"/>
          <c:yMode val="edge"/>
          <c:x val="0.14067022501633936"/>
          <c:y val="1.98807157057654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landersArtSans-Regular" panose="00000500000000000000" pitchFamily="2" charset="0"/>
              <a:ea typeface="+mn-ea"/>
              <a:cs typeface="+mn-cs"/>
            </a:defRPr>
          </a:pPr>
          <a:endParaRPr lang="nl-BE"/>
        </a:p>
      </c:txPr>
    </c:title>
    <c:autoTitleDeleted val="0"/>
    <c:plotArea>
      <c:layout/>
      <c:barChart>
        <c:barDir val="bar"/>
        <c:grouping val="clustered"/>
        <c:varyColors val="0"/>
        <c:ser>
          <c:idx val="0"/>
          <c:order val="0"/>
          <c:tx>
            <c:strRef>
              <c:f>Sheet7!$B$1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Sheet7!$A$2:$A$11</c:f>
              <c:strCache>
                <c:ptCount val="10"/>
                <c:pt idx="0">
                  <c:v>Oostenrijk</c:v>
                </c:pt>
                <c:pt idx="1">
                  <c:v>Nigeria</c:v>
                </c:pt>
                <c:pt idx="2">
                  <c:v>Zwitserland</c:v>
                </c:pt>
                <c:pt idx="3">
                  <c:v>Luxemburg</c:v>
                </c:pt>
                <c:pt idx="4">
                  <c:v>Polen</c:v>
                </c:pt>
                <c:pt idx="5">
                  <c:v>India</c:v>
                </c:pt>
                <c:pt idx="6">
                  <c:v>Italië</c:v>
                </c:pt>
                <c:pt idx="7">
                  <c:v>Verenigd Koninkrijk</c:v>
                </c:pt>
                <c:pt idx="8">
                  <c:v>Frankrijk</c:v>
                </c:pt>
                <c:pt idx="9">
                  <c:v>Duitsland</c:v>
                </c:pt>
              </c:strCache>
            </c:strRef>
          </c:cat>
          <c:val>
            <c:numRef>
              <c:f>Sheet7!$B$2:$B$11</c:f>
              <c:numCache>
                <c:formatCode>#,##0.0</c:formatCode>
                <c:ptCount val="10"/>
                <c:pt idx="0">
                  <c:v>1.6653202460799996</c:v>
                </c:pt>
                <c:pt idx="1">
                  <c:v>2.2319407309599999</c:v>
                </c:pt>
                <c:pt idx="2">
                  <c:v>2.5926527064700005</c:v>
                </c:pt>
                <c:pt idx="3">
                  <c:v>2.6569949840099998</c:v>
                </c:pt>
                <c:pt idx="4">
                  <c:v>2.9180101499999997</c:v>
                </c:pt>
                <c:pt idx="5">
                  <c:v>3.11882198125</c:v>
                </c:pt>
                <c:pt idx="6">
                  <c:v>7.1656005784700003</c:v>
                </c:pt>
                <c:pt idx="7">
                  <c:v>12.63776938701</c:v>
                </c:pt>
                <c:pt idx="8">
                  <c:v>14.830490880279999</c:v>
                </c:pt>
                <c:pt idx="9">
                  <c:v>17.968956990189998</c:v>
                </c:pt>
              </c:numCache>
            </c:numRef>
          </c:val>
          <c:extLst>
            <c:ext xmlns:c16="http://schemas.microsoft.com/office/drawing/2014/chart" uri="{C3380CC4-5D6E-409C-BE32-E72D297353CC}">
              <c16:uniqueId val="{00000000-7694-4B35-87F2-FCC9DC72B174}"/>
            </c:ext>
          </c:extLst>
        </c:ser>
        <c:dLbls>
          <c:showLegendKey val="0"/>
          <c:showVal val="0"/>
          <c:showCatName val="0"/>
          <c:showSerName val="0"/>
          <c:showPercent val="0"/>
          <c:showBubbleSize val="0"/>
        </c:dLbls>
        <c:gapWidth val="182"/>
        <c:axId val="853150031"/>
        <c:axId val="1075495231"/>
      </c:barChart>
      <c:catAx>
        <c:axId val="853150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1075495231"/>
        <c:crosses val="autoZero"/>
        <c:auto val="1"/>
        <c:lblAlgn val="ctr"/>
        <c:lblOffset val="100"/>
        <c:noMultiLvlLbl val="0"/>
      </c:catAx>
      <c:valAx>
        <c:axId val="107549523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853150031"/>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landersArtSans-Regular" panose="00000500000000000000" pitchFamily="2" charset="0"/>
                <a:ea typeface="+mn-ea"/>
                <a:cs typeface="+mn-cs"/>
              </a:defRPr>
            </a:pPr>
            <a:r>
              <a:rPr lang="en-US" b="1">
                <a:latin typeface="FlandersArtSans-Regular" panose="00000500000000000000" pitchFamily="2" charset="0"/>
              </a:rPr>
              <a:t>TOP 10 HANDELSOVERSCHOTTEN</a:t>
            </a:r>
            <a:r>
              <a:rPr lang="en-US" b="1" baseline="0">
                <a:latin typeface="FlandersArtSans-Regular" panose="00000500000000000000" pitchFamily="2" charset="0"/>
              </a:rPr>
              <a:t> PER PRODUCT IN </a:t>
            </a:r>
            <a:r>
              <a:rPr lang="en-US" b="1">
                <a:latin typeface="FlandersArtSans-Regular" panose="00000500000000000000" pitchFamily="2" charset="0"/>
              </a:rPr>
              <a:t>2017</a:t>
            </a:r>
          </a:p>
          <a:p>
            <a:pPr>
              <a:defRPr>
                <a:latin typeface="FlandersArtSans-Regular" panose="00000500000000000000" pitchFamily="2" charset="0"/>
              </a:defRPr>
            </a:pPr>
            <a:r>
              <a:rPr lang="en-US" sz="800" b="0">
                <a:latin typeface="FlandersArtSans-Regular" panose="00000500000000000000" pitchFamily="2" charset="0"/>
              </a:rPr>
              <a:t>(in € miljard)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landersArtSans-Regular" panose="00000500000000000000" pitchFamily="2" charset="0"/>
              <a:ea typeface="+mn-ea"/>
              <a:cs typeface="+mn-cs"/>
            </a:defRPr>
          </a:pPr>
          <a:endParaRPr lang="nl-BE"/>
        </a:p>
      </c:txPr>
    </c:title>
    <c:autoTitleDeleted val="0"/>
    <c:plotArea>
      <c:layout/>
      <c:barChart>
        <c:barDir val="bar"/>
        <c:grouping val="clustered"/>
        <c:varyColors val="0"/>
        <c:ser>
          <c:idx val="0"/>
          <c:order val="0"/>
          <c:tx>
            <c:strRef>
              <c:f>Sheet17!$B$1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Sheet17!$A$2:$A$10</c:f>
              <c:strCache>
                <c:ptCount val="9"/>
                <c:pt idx="0">
                  <c:v>Optische instrumenten, apparaten </c:v>
                </c:pt>
                <c:pt idx="1">
                  <c:v>Bereidingen van graan; gebak</c:v>
                </c:pt>
                <c:pt idx="2">
                  <c:v>Schoeisel</c:v>
                </c:pt>
                <c:pt idx="3">
                  <c:v>Vlees</c:v>
                </c:pt>
                <c:pt idx="4">
                  <c:v>Voertuigen </c:v>
                </c:pt>
                <c:pt idx="5">
                  <c:v>Edelstenen, diamant </c:v>
                </c:pt>
                <c:pt idx="6">
                  <c:v>Gietijzer, ijzer en staal</c:v>
                </c:pt>
                <c:pt idx="7">
                  <c:v>Farmaceutische producten</c:v>
                </c:pt>
                <c:pt idx="8">
                  <c:v>Kunststof en toepassingen</c:v>
                </c:pt>
              </c:strCache>
            </c:strRef>
          </c:cat>
          <c:val>
            <c:numRef>
              <c:f>Sheet17!$B$2:$B$10</c:f>
              <c:numCache>
                <c:formatCode>#,##0.0</c:formatCode>
                <c:ptCount val="9"/>
                <c:pt idx="0">
                  <c:v>1.4083493957200004</c:v>
                </c:pt>
                <c:pt idx="1">
                  <c:v>1.5252685609599999</c:v>
                </c:pt>
                <c:pt idx="2">
                  <c:v>1.7141328739800001</c:v>
                </c:pt>
                <c:pt idx="3">
                  <c:v>1.99910266328</c:v>
                </c:pt>
                <c:pt idx="4">
                  <c:v>2.1438273119100035</c:v>
                </c:pt>
                <c:pt idx="5">
                  <c:v>2.1802076885400004</c:v>
                </c:pt>
                <c:pt idx="6">
                  <c:v>2.7880497202500001</c:v>
                </c:pt>
                <c:pt idx="7">
                  <c:v>5.9125801684000008</c:v>
                </c:pt>
                <c:pt idx="8">
                  <c:v>8.4189267368300005</c:v>
                </c:pt>
              </c:numCache>
            </c:numRef>
          </c:val>
          <c:extLst>
            <c:ext xmlns:c16="http://schemas.microsoft.com/office/drawing/2014/chart" uri="{C3380CC4-5D6E-409C-BE32-E72D297353CC}">
              <c16:uniqueId val="{00000000-E127-42CE-B9CC-CC2E9DD0FB68}"/>
            </c:ext>
          </c:extLst>
        </c:ser>
        <c:dLbls>
          <c:showLegendKey val="0"/>
          <c:showVal val="0"/>
          <c:showCatName val="0"/>
          <c:showSerName val="0"/>
          <c:showPercent val="0"/>
          <c:showBubbleSize val="0"/>
        </c:dLbls>
        <c:gapWidth val="182"/>
        <c:axId val="620154815"/>
        <c:axId val="638655727"/>
      </c:barChart>
      <c:catAx>
        <c:axId val="620154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638655727"/>
        <c:crosses val="autoZero"/>
        <c:auto val="1"/>
        <c:lblAlgn val="ctr"/>
        <c:lblOffset val="100"/>
        <c:noMultiLvlLbl val="0"/>
      </c:catAx>
      <c:valAx>
        <c:axId val="638655727"/>
        <c:scaling>
          <c:orientation val="minMax"/>
          <c:max val="8.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620154815"/>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FlandersArtSans-Regular" panose="00000500000000000000" pitchFamily="2" charset="0"/>
                <a:ea typeface="+mn-ea"/>
                <a:cs typeface="+mn-cs"/>
              </a:defRPr>
            </a:pPr>
            <a:r>
              <a:rPr lang="en-US" b="1">
                <a:solidFill>
                  <a:sysClr val="windowText" lastClr="000000"/>
                </a:solidFill>
                <a:latin typeface="FlandersArtSans-Regular" panose="00000500000000000000" pitchFamily="2" charset="0"/>
              </a:rPr>
              <a:t>TOP 10 HANDELSTEKORTEN IN</a:t>
            </a:r>
            <a:r>
              <a:rPr lang="en-US" b="1" baseline="0">
                <a:solidFill>
                  <a:sysClr val="windowText" lastClr="000000"/>
                </a:solidFill>
                <a:latin typeface="FlandersArtSans-Regular" panose="00000500000000000000" pitchFamily="2" charset="0"/>
              </a:rPr>
              <a:t> </a:t>
            </a:r>
            <a:r>
              <a:rPr lang="en-US" b="1">
                <a:solidFill>
                  <a:sysClr val="windowText" lastClr="000000"/>
                </a:solidFill>
                <a:latin typeface="FlandersArtSans-Regular" panose="00000500000000000000" pitchFamily="2" charset="0"/>
              </a:rPr>
              <a:t>2017</a:t>
            </a:r>
          </a:p>
          <a:p>
            <a:pPr>
              <a:defRPr>
                <a:solidFill>
                  <a:sysClr val="windowText" lastClr="000000"/>
                </a:solidFill>
                <a:latin typeface="FlandersArtSans-Regular" panose="00000500000000000000" pitchFamily="2" charset="0"/>
              </a:defRPr>
            </a:pPr>
            <a:r>
              <a:rPr lang="en-US" sz="800" b="0">
                <a:solidFill>
                  <a:sysClr val="windowText" lastClr="000000"/>
                </a:solidFill>
                <a:latin typeface="FlandersArtSans-Regular" panose="00000500000000000000" pitchFamily="2" charset="0"/>
              </a:rPr>
              <a:t>(per land, in € miljard)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FlandersArtSans-Regular" panose="00000500000000000000" pitchFamily="2" charset="0"/>
              <a:ea typeface="+mn-ea"/>
              <a:cs typeface="+mn-cs"/>
            </a:defRPr>
          </a:pPr>
          <a:endParaRPr lang="nl-BE"/>
        </a:p>
      </c:txPr>
    </c:title>
    <c:autoTitleDeleted val="0"/>
    <c:plotArea>
      <c:layout/>
      <c:barChart>
        <c:barDir val="bar"/>
        <c:grouping val="clustered"/>
        <c:varyColors val="0"/>
        <c:ser>
          <c:idx val="0"/>
          <c:order val="0"/>
          <c:tx>
            <c:strRef>
              <c:f>Sheet9!$B$1</c:f>
              <c:strCache>
                <c:ptCount val="1"/>
                <c:pt idx="0">
                  <c:v>2017</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Sheet9!$A$2:$A$11</c:f>
              <c:strCache>
                <c:ptCount val="10"/>
                <c:pt idx="0">
                  <c:v>Nederland</c:v>
                </c:pt>
                <c:pt idx="1">
                  <c:v>Ierland</c:v>
                </c:pt>
                <c:pt idx="2">
                  <c:v>Verenigde Staten</c:v>
                </c:pt>
                <c:pt idx="3">
                  <c:v>China</c:v>
                </c:pt>
                <c:pt idx="4">
                  <c:v>Japan</c:v>
                </c:pt>
                <c:pt idx="5">
                  <c:v>Rusland</c:v>
                </c:pt>
                <c:pt idx="6">
                  <c:v>Singapore</c:v>
                </c:pt>
                <c:pt idx="7">
                  <c:v>Noorwegen</c:v>
                </c:pt>
                <c:pt idx="8">
                  <c:v>Mexico</c:v>
                </c:pt>
                <c:pt idx="9">
                  <c:v>Vietnam</c:v>
                </c:pt>
              </c:strCache>
            </c:strRef>
          </c:cat>
          <c:val>
            <c:numRef>
              <c:f>Sheet9!$B$2:$B$11</c:f>
              <c:numCache>
                <c:formatCode>#,##0.0</c:formatCode>
                <c:ptCount val="10"/>
                <c:pt idx="0">
                  <c:v>-13.844266731200003</c:v>
                </c:pt>
                <c:pt idx="1">
                  <c:v>-10.385759996619999</c:v>
                </c:pt>
                <c:pt idx="2">
                  <c:v>-7.2239523155400009</c:v>
                </c:pt>
                <c:pt idx="3">
                  <c:v>-5.8319313264999995</c:v>
                </c:pt>
                <c:pt idx="4">
                  <c:v>-5.47552858302</c:v>
                </c:pt>
                <c:pt idx="5">
                  <c:v>-4.9274976421999996</c:v>
                </c:pt>
                <c:pt idx="6">
                  <c:v>-2.9889605930000003</c:v>
                </c:pt>
                <c:pt idx="7">
                  <c:v>-2.8951595394299998</c:v>
                </c:pt>
                <c:pt idx="8">
                  <c:v>-2.37655882964</c:v>
                </c:pt>
                <c:pt idx="9">
                  <c:v>-1.5586966879199999</c:v>
                </c:pt>
              </c:numCache>
            </c:numRef>
          </c:val>
          <c:extLst>
            <c:ext xmlns:c16="http://schemas.microsoft.com/office/drawing/2014/chart" uri="{C3380CC4-5D6E-409C-BE32-E72D297353CC}">
              <c16:uniqueId val="{00000000-7145-421D-B6E9-D8D309B96EB5}"/>
            </c:ext>
          </c:extLst>
        </c:ser>
        <c:dLbls>
          <c:showLegendKey val="0"/>
          <c:showVal val="0"/>
          <c:showCatName val="0"/>
          <c:showSerName val="0"/>
          <c:showPercent val="0"/>
          <c:showBubbleSize val="0"/>
        </c:dLbls>
        <c:gapWidth val="100"/>
        <c:axId val="976018415"/>
        <c:axId val="719873983"/>
      </c:barChart>
      <c:catAx>
        <c:axId val="976018415"/>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719873983"/>
        <c:crosses val="autoZero"/>
        <c:auto val="1"/>
        <c:lblAlgn val="ctr"/>
        <c:lblOffset val="100"/>
        <c:noMultiLvlLbl val="0"/>
      </c:catAx>
      <c:valAx>
        <c:axId val="719873983"/>
        <c:scaling>
          <c:orientation val="minMax"/>
          <c:min val="-1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9760184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FlandersArtSans-Regular" panose="00000500000000000000" pitchFamily="2" charset="0"/>
                <a:ea typeface="+mn-ea"/>
                <a:cs typeface="+mn-cs"/>
              </a:defRPr>
            </a:pPr>
            <a:r>
              <a:rPr lang="en-US" b="1">
                <a:solidFill>
                  <a:sysClr val="windowText" lastClr="000000"/>
                </a:solidFill>
                <a:latin typeface="FlandersArtSans-Regular" panose="00000500000000000000" pitchFamily="2" charset="0"/>
              </a:rPr>
              <a:t>TOP 10 HANDELSTEKORTEN PER PRODUCT IN 2017</a:t>
            </a:r>
          </a:p>
          <a:p>
            <a:pPr>
              <a:defRPr>
                <a:solidFill>
                  <a:sysClr val="windowText" lastClr="000000"/>
                </a:solidFill>
                <a:latin typeface="FlandersArtSans-Regular" panose="00000500000000000000" pitchFamily="2" charset="0"/>
              </a:defRPr>
            </a:pPr>
            <a:r>
              <a:rPr lang="en-US" sz="800">
                <a:solidFill>
                  <a:sysClr val="windowText" lastClr="000000"/>
                </a:solidFill>
                <a:latin typeface="FlandersArtSans-Regular" panose="00000500000000000000" pitchFamily="2" charset="0"/>
              </a:rPr>
              <a:t>(in € miljard)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FlandersArtSans-Regular" panose="00000500000000000000" pitchFamily="2" charset="0"/>
              <a:ea typeface="+mn-ea"/>
              <a:cs typeface="+mn-cs"/>
            </a:defRPr>
          </a:pPr>
          <a:endParaRPr lang="nl-BE"/>
        </a:p>
      </c:txPr>
    </c:title>
    <c:autoTitleDeleted val="0"/>
    <c:plotArea>
      <c:layout/>
      <c:barChart>
        <c:barDir val="bar"/>
        <c:grouping val="clustered"/>
        <c:varyColors val="0"/>
        <c:ser>
          <c:idx val="0"/>
          <c:order val="0"/>
          <c:tx>
            <c:strRef>
              <c:f>Sheet18!$B$1</c:f>
              <c:strCache>
                <c:ptCount val="1"/>
                <c:pt idx="0">
                  <c:v>2017</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Sheet18!$A$2:$A$11</c:f>
              <c:strCache>
                <c:ptCount val="10"/>
                <c:pt idx="0">
                  <c:v>Minerale brandstoffen, aardolie </c:v>
                </c:pt>
                <c:pt idx="1">
                  <c:v>Ertsen en assen</c:v>
                </c:pt>
                <c:pt idx="2">
                  <c:v>Elektrische machines, apparaten</c:v>
                </c:pt>
                <c:pt idx="3">
                  <c:v>Granen</c:v>
                </c:pt>
                <c:pt idx="4">
                  <c:v>Organische chemische producten</c:v>
                </c:pt>
                <c:pt idx="5">
                  <c:v>Zaden en vruchten; zaaigoed</c:v>
                </c:pt>
                <c:pt idx="6">
                  <c:v>Meubelen; verlichtingstoestellen</c:v>
                </c:pt>
                <c:pt idx="7">
                  <c:v>Fruit</c:v>
                </c:pt>
                <c:pt idx="8">
                  <c:v>Vis, schaaldieren </c:v>
                </c:pt>
                <c:pt idx="9">
                  <c:v>Machines, mechanische werktuigen</c:v>
                </c:pt>
              </c:strCache>
            </c:strRef>
          </c:cat>
          <c:val>
            <c:numRef>
              <c:f>Sheet18!$B$2:$B$11</c:f>
              <c:numCache>
                <c:formatCode>#,##0.0</c:formatCode>
                <c:ptCount val="10"/>
                <c:pt idx="0">
                  <c:v>-13.84677542275</c:v>
                </c:pt>
                <c:pt idx="1">
                  <c:v>-2.1149261242200001</c:v>
                </c:pt>
                <c:pt idx="2">
                  <c:v>-1.8184327586400006</c:v>
                </c:pt>
                <c:pt idx="3">
                  <c:v>-1.2108870864400001</c:v>
                </c:pt>
                <c:pt idx="4">
                  <c:v>-1.1361181598000005</c:v>
                </c:pt>
                <c:pt idx="5">
                  <c:v>-0.96574580933000009</c:v>
                </c:pt>
                <c:pt idx="6">
                  <c:v>-0.65651761121000018</c:v>
                </c:pt>
                <c:pt idx="7">
                  <c:v>-0.60433024133000013</c:v>
                </c:pt>
                <c:pt idx="8">
                  <c:v>-0.55640304628000004</c:v>
                </c:pt>
                <c:pt idx="9">
                  <c:v>-0.52704017886000132</c:v>
                </c:pt>
              </c:numCache>
            </c:numRef>
          </c:val>
          <c:extLst>
            <c:ext xmlns:c16="http://schemas.microsoft.com/office/drawing/2014/chart" uri="{C3380CC4-5D6E-409C-BE32-E72D297353CC}">
              <c16:uniqueId val="{00000000-2EC4-4C6D-8E7D-107F45BB361E}"/>
            </c:ext>
          </c:extLst>
        </c:ser>
        <c:dLbls>
          <c:showLegendKey val="0"/>
          <c:showVal val="0"/>
          <c:showCatName val="0"/>
          <c:showSerName val="0"/>
          <c:showPercent val="0"/>
          <c:showBubbleSize val="0"/>
        </c:dLbls>
        <c:gapWidth val="100"/>
        <c:axId val="458122655"/>
        <c:axId val="551503711"/>
      </c:barChart>
      <c:catAx>
        <c:axId val="458122655"/>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551503711"/>
        <c:crosses val="autoZero"/>
        <c:auto val="1"/>
        <c:lblAlgn val="ctr"/>
        <c:lblOffset val="100"/>
        <c:noMultiLvlLbl val="0"/>
      </c:catAx>
      <c:valAx>
        <c:axId val="5515037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landersArtSans-Regular" panose="00000500000000000000" pitchFamily="2" charset="0"/>
                <a:ea typeface="+mn-ea"/>
                <a:cs typeface="+mn-cs"/>
              </a:defRPr>
            </a:pPr>
            <a:endParaRPr lang="nl-BE"/>
          </a:p>
        </c:txPr>
        <c:crossAx val="4581226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B71B-B9DB-4764-9482-3B7812B7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1488</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Flanders Investment &amp; Trade</dc:creator>
  <cp:lastModifiedBy>Renaat Van de Putte</cp:lastModifiedBy>
  <cp:revision>4</cp:revision>
  <cp:lastPrinted>2013-03-28T16:27:00Z</cp:lastPrinted>
  <dcterms:created xsi:type="dcterms:W3CDTF">2018-03-30T12:34:00Z</dcterms:created>
  <dcterms:modified xsi:type="dcterms:W3CDTF">2018-04-19T12:44:00Z</dcterms:modified>
</cp:coreProperties>
</file>