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FlandersArtSans-Regular" w:hAnsi="FlandersArtSans-Regular" w:cs="Arial"/>
          <w:b/>
          <w:sz w:val="28"/>
          <w:szCs w:val="28"/>
          <w:lang w:val="nl-BE"/>
        </w:rPr>
      </w:pPr>
      <w:r>
        <w:rPr>
          <w:noProof/>
          <w:color w:val="FF0000"/>
          <w:lang w:val="nl-BE" w:eastAsia="nl-BE"/>
        </w:rPr>
        <w:drawing>
          <wp:inline distT="0" distB="0" distL="0" distR="0">
            <wp:extent cx="3383280" cy="988060"/>
            <wp:effectExtent l="0" t="0" r="7620" b="254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tretch>
                      <a:fillRect/>
                    </a:stretch>
                  </pic:blipFill>
                  <pic:spPr>
                    <a:xfrm>
                      <a:off x="0" y="0"/>
                      <a:ext cx="3423860" cy="999911"/>
                    </a:xfrm>
                    <a:prstGeom prst="rect">
                      <a:avLst/>
                    </a:prstGeom>
                  </pic:spPr>
                </pic:pic>
              </a:graphicData>
            </a:graphic>
          </wp:inline>
        </w:drawing>
      </w:r>
    </w:p>
    <w:p>
      <w:pPr>
        <w:jc w:val="center"/>
        <w:rPr>
          <w:rFonts w:ascii="FlandersArtSans-Regular" w:hAnsi="FlandersArtSans-Regular" w:cs="Arial"/>
          <w:b/>
          <w:sz w:val="28"/>
          <w:szCs w:val="28"/>
        </w:rPr>
      </w:pPr>
      <w:r>
        <w:rPr>
          <w:rFonts w:ascii="FlandersArtSans-Regular" w:hAnsi="FlandersArtSans-Regular" w:cs="Arial"/>
          <w:b/>
          <w:sz w:val="28"/>
          <w:szCs w:val="28"/>
        </w:rPr>
        <w:t>Flanders foreign trade in 2017: summary</w:t>
      </w:r>
    </w:p>
    <w:p>
      <w:pPr>
        <w:pStyle w:val="ListParagraph"/>
        <w:numPr>
          <w:ilvl w:val="0"/>
          <w:numId w:val="2"/>
        </w:numPr>
        <w:rPr>
          <w:rFonts w:ascii="FlandersArtSans-Regular" w:hAnsi="FlandersArtSans-Regular" w:cs="Arial"/>
          <w:color w:val="FF0000"/>
          <w:sz w:val="20"/>
          <w:szCs w:val="20"/>
        </w:rPr>
      </w:pPr>
      <w:r>
        <w:rPr>
          <w:rFonts w:ascii="FlandersArtSans-Regular" w:hAnsi="FlandersArtSans-Regular" w:cs="Arial"/>
          <w:sz w:val="20"/>
          <w:szCs w:val="20"/>
        </w:rPr>
        <w:t>Merchandise exports by Flemish companies amounted to over EUR 317 billion in 2017, which was a 5% increase compared with 2016.</w:t>
      </w:r>
    </w:p>
    <w:p>
      <w:pPr>
        <w:pStyle w:val="ListParagraph"/>
        <w:numPr>
          <w:ilvl w:val="0"/>
          <w:numId w:val="2"/>
        </w:numPr>
        <w:rPr>
          <w:rFonts w:ascii="FlandersArtSans-Regular" w:hAnsi="FlandersArtSans-Regular" w:cs="Arial"/>
          <w:sz w:val="20"/>
          <w:szCs w:val="20"/>
        </w:rPr>
      </w:pPr>
      <w:r>
        <w:rPr>
          <w:rFonts w:ascii="FlandersArtSans-Regular" w:hAnsi="FlandersArtSans-Regular" w:cs="Arial"/>
          <w:sz w:val="20"/>
          <w:szCs w:val="20"/>
        </w:rPr>
        <w:t>Throughout 2017, quarterly trade figures had consistently indicated that Flemish annual exports would end up reaching a new high.</w:t>
      </w:r>
    </w:p>
    <w:p>
      <w:pPr>
        <w:pStyle w:val="ListParagraph"/>
        <w:numPr>
          <w:ilvl w:val="0"/>
          <w:numId w:val="2"/>
        </w:numPr>
        <w:rPr>
          <w:rFonts w:ascii="FlandersArtSans-Regular" w:hAnsi="FlandersArtSans-Regular" w:cs="Arial"/>
          <w:sz w:val="20"/>
          <w:szCs w:val="20"/>
        </w:rPr>
      </w:pPr>
      <w:r>
        <w:rPr>
          <w:rFonts w:ascii="FlandersArtSans-Regular" w:hAnsi="FlandersArtSans-Regular" w:cs="Arial"/>
          <w:sz w:val="20"/>
          <w:szCs w:val="20"/>
        </w:rPr>
        <w:t>At 5%, the value increase of 2017 exports by Flanders was significantly higher than the growth rate in 2016 (+1.33%). 2017 marked the 8th consecutive year of export trade growth and was the third largest such rise since the global economic crisis of 2008 – 2009.</w:t>
      </w:r>
    </w:p>
    <w:p>
      <w:pPr>
        <w:pStyle w:val="ListParagraph"/>
        <w:numPr>
          <w:ilvl w:val="0"/>
          <w:numId w:val="2"/>
        </w:numPr>
        <w:rPr>
          <w:rFonts w:ascii="FlandersArtSans-Regular" w:hAnsi="FlandersArtSans-Regular" w:cs="Arial"/>
          <w:sz w:val="20"/>
          <w:szCs w:val="20"/>
        </w:rPr>
      </w:pPr>
      <w:r>
        <w:rPr>
          <w:rFonts w:ascii="FlandersArtSans-Regular" w:hAnsi="FlandersArtSans-Regular" w:cs="Arial"/>
          <w:sz w:val="20"/>
          <w:szCs w:val="20"/>
        </w:rPr>
        <w:t>Overall, the 5% value gain in 2017 exports may seem a pretty robust increase, but less impressive when compared with the all-EU export performance. According to recent trade figures issued by Eurostat,  average growth of EU exports as a whole amounted to 7.53% in 2017, an increase led in particular by the Netherlands (+11.8%) and Poland (+11.7%) and Spain (+8.27%)</w:t>
      </w:r>
      <w:r>
        <w:rPr>
          <w:rFonts w:ascii="FlandersArtSans-Regular" w:hAnsi="FlandersArtSans-Regular" w:cs="Arial"/>
          <w:sz w:val="20"/>
          <w:szCs w:val="20"/>
        </w:rPr>
        <w:br/>
        <w:t xml:space="preserve">Provisional data on global merchandise trade from the World Trade Organisation even estimate annual export trade growth in 2017 at a hefty 10%, double the percentage rise in annual foreign sales from Flanders. </w:t>
      </w:r>
    </w:p>
    <w:p>
      <w:pPr>
        <w:pStyle w:val="ListParagraph"/>
        <w:numPr>
          <w:ilvl w:val="0"/>
          <w:numId w:val="2"/>
        </w:numPr>
        <w:rPr>
          <w:rFonts w:ascii="FlandersArtSans-Regular" w:hAnsi="FlandersArtSans-Regular" w:cs="Arial"/>
          <w:sz w:val="20"/>
          <w:szCs w:val="20"/>
        </w:rPr>
      </w:pPr>
      <w:r>
        <w:rPr>
          <w:rFonts w:ascii="FlandersArtSans-Regular" w:hAnsi="FlandersArtSans-Regular" w:cs="Arial"/>
          <w:sz w:val="20"/>
          <w:szCs w:val="20"/>
        </w:rPr>
        <w:t>Flanders accounted for 83.22% of the total value of annual exports from Belgium, with the Walloon region taking a 14.24% share and the proportion held by Brussels standing at 2.55%.</w:t>
      </w:r>
    </w:p>
    <w:p>
      <w:pPr>
        <w:pStyle w:val="ListParagraph"/>
        <w:rPr>
          <w:rFonts w:cs="Arial"/>
          <w:color w:val="FF0000"/>
          <w:sz w:val="20"/>
          <w:szCs w:val="20"/>
        </w:rPr>
      </w:pPr>
    </w:p>
    <w:p>
      <w:pPr>
        <w:pStyle w:val="ListParagraph"/>
        <w:numPr>
          <w:ilvl w:val="0"/>
          <w:numId w:val="2"/>
        </w:numPr>
        <w:rPr>
          <w:rFonts w:ascii="FlandersArtSans-Regular" w:hAnsi="FlandersArtSans-Regular" w:cs="Arial"/>
          <w:sz w:val="20"/>
          <w:szCs w:val="20"/>
        </w:rPr>
      </w:pPr>
      <w:r>
        <w:rPr>
          <w:rFonts w:ascii="FlandersArtSans-Regular" w:hAnsi="FlandersArtSans-Regular" w:cs="Arial"/>
          <w:sz w:val="20"/>
          <w:szCs w:val="20"/>
        </w:rPr>
        <w:t xml:space="preserve">About 70% of all 2017 exports from Flanders was destined for markets within the European Union. </w:t>
      </w:r>
      <w:r>
        <w:rPr>
          <w:rFonts w:ascii="FlandersArtSans-Regular" w:hAnsi="FlandersArtSans-Regular" w:cs="Arial"/>
          <w:sz w:val="20"/>
          <w:szCs w:val="20"/>
        </w:rPr>
        <w:br/>
        <w:t>EU-bound deliveries rose by 4.7% compared with 2016. The bulk of Flanders exports was dispatched to neighbouring markets, with more than half of its exports —51,64% — going to Germany, the Netherlands, France, the United Kingdom and Luxembourg.</w:t>
      </w:r>
      <w:r>
        <w:rPr>
          <w:rFonts w:ascii="FlandersArtSans-Regular" w:hAnsi="FlandersArtSans-Regular" w:cs="Arial"/>
          <w:sz w:val="20"/>
          <w:szCs w:val="20"/>
        </w:rPr>
        <w:br/>
      </w:r>
    </w:p>
    <w:p>
      <w:pPr>
        <w:pStyle w:val="ListParagraph"/>
        <w:numPr>
          <w:ilvl w:val="1"/>
          <w:numId w:val="2"/>
        </w:numPr>
        <w:rPr>
          <w:rFonts w:ascii="FlandersArtSans-Regular" w:hAnsi="FlandersArtSans-Regular" w:cs="Arial"/>
          <w:color w:val="FF0000"/>
          <w:sz w:val="20"/>
          <w:szCs w:val="20"/>
        </w:rPr>
      </w:pPr>
      <w:r>
        <w:rPr>
          <w:rFonts w:ascii="FlandersArtSans-Regular" w:hAnsi="FlandersArtSans-Regular" w:cs="Arial"/>
          <w:sz w:val="20"/>
          <w:szCs w:val="20"/>
        </w:rPr>
        <w:t>Germany remained the largest export partner in 2017, cornering a 16.79% share of total exports, which represented a 4.5% increase on 2016.</w:t>
      </w:r>
      <w:r>
        <w:rPr>
          <w:rFonts w:ascii="Calibri" w:hAnsi="Calibri" w:cs="Arial"/>
        </w:rPr>
        <w:t xml:space="preserve"> </w:t>
      </w:r>
      <w:r>
        <w:rPr>
          <w:rFonts w:ascii="FlandersArtSans-Regular" w:hAnsi="FlandersArtSans-Regular" w:cs="Arial"/>
          <w:sz w:val="20"/>
          <w:szCs w:val="20"/>
        </w:rPr>
        <w:t>As an export market, France dropped to third place from second, following a mere 0.38% increase in year-on-year exports in 2017.</w:t>
      </w:r>
    </w:p>
    <w:p>
      <w:pPr>
        <w:pStyle w:val="ListParagraph"/>
        <w:numPr>
          <w:ilvl w:val="1"/>
          <w:numId w:val="2"/>
        </w:numPr>
        <w:rPr>
          <w:rFonts w:ascii="FlandersArtSans-Regular" w:hAnsi="FlandersArtSans-Regular" w:cs="Arial"/>
          <w:sz w:val="20"/>
          <w:szCs w:val="20"/>
        </w:rPr>
      </w:pPr>
      <w:r>
        <w:rPr>
          <w:rFonts w:ascii="FlandersArtSans-Regular" w:hAnsi="FlandersArtSans-Regular" w:cs="Arial"/>
          <w:sz w:val="20"/>
          <w:szCs w:val="20"/>
        </w:rPr>
        <w:t>The Netherlands overtook France as runner-up among top Flemish export markets: 2017 exports to the Netherlands went up 13.72%. The country thus experienced the largest annual increase of export value of all Flemish markets.</w:t>
      </w:r>
    </w:p>
    <w:p>
      <w:pPr>
        <w:pStyle w:val="ListParagraph"/>
        <w:numPr>
          <w:ilvl w:val="1"/>
          <w:numId w:val="2"/>
        </w:numPr>
        <w:ind w:left="1434" w:hanging="357"/>
        <w:rPr>
          <w:rFonts w:ascii="Calibri" w:hAnsi="Calibri" w:cs="Arial"/>
        </w:rPr>
      </w:pPr>
      <w:r>
        <w:rPr>
          <w:rFonts w:ascii="FlandersArtSans-Regular" w:hAnsi="FlandersArtSans-Regular" w:cs="Arial"/>
          <w:sz w:val="20"/>
          <w:szCs w:val="20"/>
        </w:rPr>
        <w:t xml:space="preserve">Of all its major EU trade partners, Flanders intra-community exports declined in just 2 markets: sales to Italy dropped by a mere 1.2% and export trade with the United Kingdom also fell slightly (-0.4%). </w:t>
      </w:r>
      <w:r>
        <w:rPr>
          <w:rFonts w:ascii="FlandersArtSans-Regular" w:hAnsi="FlandersArtSans-Regular" w:cs="Arial"/>
          <w:sz w:val="20"/>
          <w:szCs w:val="20"/>
        </w:rPr>
        <w:br/>
        <w:t>It seems that so far the main impact on trade with Britain, following the Brexit vote back in June of 2016 seems to be the relative currency volatility of the pound. Looking at the 2017 trade figures with the UK, however, the drop in the value of the pound does not seem to have resulted in a major downturn of Flemish exports (-0.4%).</w:t>
      </w:r>
    </w:p>
    <w:p>
      <w:pPr>
        <w:pStyle w:val="ListParagraph"/>
        <w:ind w:left="1434"/>
        <w:rPr>
          <w:rFonts w:ascii="FlandersArtSans-Regular" w:hAnsi="FlandersArtSans-Regular" w:cs="Arial"/>
          <w:color w:val="FF0000"/>
          <w:sz w:val="20"/>
          <w:szCs w:val="20"/>
        </w:rPr>
      </w:pPr>
    </w:p>
    <w:p>
      <w:pPr>
        <w:pStyle w:val="ListParagraph"/>
        <w:numPr>
          <w:ilvl w:val="0"/>
          <w:numId w:val="8"/>
        </w:numPr>
        <w:spacing w:line="240" w:lineRule="auto"/>
        <w:rPr>
          <w:rFonts w:ascii="FlandersArtSans-Regular" w:hAnsi="FlandersArtSans-Regular" w:cs="Arial"/>
          <w:sz w:val="20"/>
          <w:szCs w:val="20"/>
        </w:rPr>
      </w:pPr>
      <w:r>
        <w:rPr>
          <w:rFonts w:ascii="FlandersArtSans-Regular" w:hAnsi="FlandersArtSans-Regular" w:cs="Arial"/>
          <w:sz w:val="20"/>
          <w:szCs w:val="20"/>
        </w:rPr>
        <w:t>As with exports, total merchandise imports into Flanders also reached a new high in 2017, when imports of foreign goods amounted to EUR 299 billion, which was a 3.12% increase compared with the 2016 value.</w:t>
      </w:r>
    </w:p>
    <w:p>
      <w:pPr>
        <w:pStyle w:val="ListParagraph"/>
        <w:spacing w:line="240" w:lineRule="auto"/>
        <w:rPr>
          <w:rFonts w:ascii="FlandersArtSans-Regular" w:hAnsi="FlandersArtSans-Regular" w:cs="Arial"/>
          <w:sz w:val="20"/>
          <w:szCs w:val="20"/>
        </w:rPr>
      </w:pPr>
      <w:r>
        <w:rPr>
          <w:rFonts w:ascii="FlandersArtSans-Regular" w:hAnsi="FlandersArtSans-Regular" w:cs="Arial"/>
          <w:sz w:val="20"/>
          <w:szCs w:val="20"/>
        </w:rPr>
        <w:lastRenderedPageBreak/>
        <w:br/>
      </w:r>
      <w:r>
        <w:rPr>
          <w:noProof/>
        </w:rPr>
        <w:drawing>
          <wp:inline distT="0" distB="0" distL="0" distR="0">
            <wp:extent cx="6204585" cy="5367020"/>
            <wp:effectExtent l="0" t="0" r="5715" b="5080"/>
            <wp:docPr id="3" name="Chart 3">
              <a:extLst xmlns:a="http://schemas.openxmlformats.org/drawingml/2006/main">
                <a:ext uri="{FF2B5EF4-FFF2-40B4-BE49-F238E27FC236}">
                  <a16:creationId xmlns:a16="http://schemas.microsoft.com/office/drawing/2014/main" id="{BC7BB92E-DC36-406C-8F52-E15FA471F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pPr>
        <w:pStyle w:val="ListParagraph"/>
        <w:numPr>
          <w:ilvl w:val="0"/>
          <w:numId w:val="3"/>
        </w:numPr>
        <w:spacing w:before="240"/>
        <w:ind w:left="714" w:hanging="357"/>
        <w:rPr>
          <w:rFonts w:ascii="FlandersArtSans-Regular" w:hAnsi="FlandersArtSans-Regular" w:cs="Arial"/>
          <w:sz w:val="20"/>
          <w:szCs w:val="20"/>
        </w:rPr>
      </w:pPr>
      <w:r>
        <w:rPr>
          <w:rFonts w:ascii="FlandersArtSans-Regular" w:hAnsi="FlandersArtSans-Regular" w:cs="Arial"/>
          <w:sz w:val="20"/>
          <w:szCs w:val="20"/>
          <w:u w:val="single"/>
        </w:rPr>
        <w:t>Non-EU exports</w:t>
      </w:r>
      <w:r>
        <w:rPr>
          <w:rFonts w:ascii="FlandersArtSans-Regular" w:hAnsi="FlandersArtSans-Regular" w:cs="Arial"/>
          <w:sz w:val="20"/>
          <w:szCs w:val="20"/>
        </w:rPr>
        <w:t xml:space="preserve"> from Flanders recorded slightly above-average growth in 2017 (+5.6% against +4.99%).  </w:t>
      </w:r>
    </w:p>
    <w:p>
      <w:pPr>
        <w:pStyle w:val="ListParagraph"/>
        <w:rPr>
          <w:rFonts w:cs="Arial"/>
          <w:sz w:val="20"/>
          <w:szCs w:val="20"/>
        </w:rPr>
      </w:pPr>
    </w:p>
    <w:p>
      <w:pPr>
        <w:pStyle w:val="ListParagraph"/>
        <w:numPr>
          <w:ilvl w:val="1"/>
          <w:numId w:val="3"/>
        </w:numPr>
        <w:spacing w:after="0"/>
        <w:ind w:left="1434" w:hanging="357"/>
        <w:rPr>
          <w:rFonts w:ascii="FlandersArtSans-Regular" w:eastAsia="Times New Roman" w:hAnsi="FlandersArtSans-Regular" w:cs="Tahoma"/>
          <w:sz w:val="20"/>
          <w:szCs w:val="20"/>
        </w:rPr>
      </w:pPr>
      <w:r>
        <w:rPr>
          <w:rFonts w:ascii="FlandersArtSans-Regular" w:hAnsi="FlandersArtSans-Regular" w:cs="Arial"/>
          <w:sz w:val="20"/>
          <w:szCs w:val="20"/>
        </w:rPr>
        <w:t>Exports from Flanders to non-EU European countries (Greater Europe) amounted to 17,45 billion euro, a</w:t>
      </w:r>
      <w:r>
        <w:rPr>
          <w:rFonts w:ascii="FlandersArtSans-Regular" w:eastAsia="Times New Roman" w:hAnsi="FlandersArtSans-Regular" w:cs="Tahoma"/>
          <w:sz w:val="20"/>
          <w:szCs w:val="20"/>
        </w:rPr>
        <w:t xml:space="preserve">  EUR 2.6 billion increase (+17.6%) on 2016. Among the markets recording considerable value increases were Switzerland (+22.2%), Turkey (+18.9%) and Russia (+11%).</w:t>
      </w:r>
    </w:p>
    <w:p>
      <w:pPr>
        <w:pStyle w:val="ListParagraph"/>
        <w:numPr>
          <w:ilvl w:val="1"/>
          <w:numId w:val="3"/>
        </w:numPr>
        <w:spacing w:after="0"/>
        <w:ind w:left="1434" w:hanging="357"/>
        <w:rPr>
          <w:rFonts w:ascii="FlandersArtSans-Regular" w:eastAsia="Times New Roman" w:hAnsi="FlandersArtSans-Regular" w:cs="Tahoma"/>
          <w:sz w:val="20"/>
          <w:szCs w:val="20"/>
        </w:rPr>
      </w:pPr>
      <w:r>
        <w:rPr>
          <w:rFonts w:ascii="FlandersArtSans-Regular" w:eastAsia="Times New Roman" w:hAnsi="FlandersArtSans-Regular" w:cs="Tahoma"/>
          <w:sz w:val="20"/>
          <w:szCs w:val="20"/>
        </w:rPr>
        <w:t>Across Asia, export results also improved slightly (+3.7% on 2016), most notably in China, our second Asian market (+15.6%,), as well as in South Korea (+7%), Thailand (+14.5%), Taiwan (+12.51%), Vietnam (+22.6%), Pakistan (+25.75%) and the Philippines (+18.3%). In a number of other Asian countries, however, notable export declines appeared, as was the case in India (-1.59%;), our 8</w:t>
      </w:r>
      <w:r>
        <w:rPr>
          <w:rFonts w:ascii="FlandersArtSans-Regular" w:eastAsia="Times New Roman" w:hAnsi="FlandersArtSans-Regular" w:cs="Tahoma"/>
          <w:sz w:val="20"/>
          <w:szCs w:val="20"/>
          <w:vertAlign w:val="superscript"/>
        </w:rPr>
        <w:t>th</w:t>
      </w:r>
      <w:r>
        <w:rPr>
          <w:rFonts w:ascii="FlandersArtSans-Regular" w:eastAsia="Times New Roman" w:hAnsi="FlandersArtSans-Regular" w:cs="Tahoma"/>
          <w:sz w:val="20"/>
          <w:szCs w:val="20"/>
        </w:rPr>
        <w:t xml:space="preserve"> worldwide and highest-ranking Asian market, Japan (-8.69% and 19</w:t>
      </w:r>
      <w:r>
        <w:rPr>
          <w:rFonts w:ascii="FlandersArtSans-Regular" w:eastAsia="Times New Roman" w:hAnsi="FlandersArtSans-Regular" w:cs="Tahoma"/>
          <w:sz w:val="20"/>
          <w:szCs w:val="20"/>
          <w:vertAlign w:val="superscript"/>
        </w:rPr>
        <w:t>th</w:t>
      </w:r>
      <w:r>
        <w:rPr>
          <w:rFonts w:ascii="FlandersArtSans-Regular" w:eastAsia="Times New Roman" w:hAnsi="FlandersArtSans-Regular" w:cs="Tahoma"/>
          <w:sz w:val="20"/>
          <w:szCs w:val="20"/>
        </w:rPr>
        <w:t xml:space="preserve"> worldwide customer to Flanders), Hongkong (-2.53%) and Singapore </w:t>
      </w:r>
      <w:r>
        <w:rPr>
          <w:rFonts w:ascii="FlandersArtSans-Regular" w:eastAsia="Times New Roman" w:hAnsi="FlandersArtSans-Regular" w:cs="Tahoma"/>
          <w:sz w:val="20"/>
          <w:szCs w:val="20"/>
        </w:rPr>
        <w:br/>
        <w:t xml:space="preserve">(-14.26%).  </w:t>
      </w:r>
    </w:p>
    <w:p>
      <w:pPr>
        <w:pStyle w:val="ListParagraph"/>
        <w:numPr>
          <w:ilvl w:val="1"/>
          <w:numId w:val="3"/>
        </w:numPr>
        <w:rPr>
          <w:rFonts w:cs="Arial"/>
          <w:sz w:val="20"/>
          <w:szCs w:val="20"/>
        </w:rPr>
      </w:pPr>
      <w:r>
        <w:rPr>
          <w:rFonts w:ascii="FlandersArtSans-Regular" w:hAnsi="FlandersArtSans-Regular"/>
          <w:sz w:val="20"/>
          <w:szCs w:val="20"/>
        </w:rPr>
        <w:t>2017 exports to Middle Eastern markets rose 4.6%, slightly below average, yet with performances particularly glowing in the United Arab Emirates (+4.1%), Saudi Arabia (+4.8%), Iran (+22.2%) and Qatar (+23%).</w:t>
      </w:r>
      <w:r>
        <w:rPr>
          <w:rFonts w:ascii="FlandersArtSans-Regular" w:hAnsi="FlandersArtSans-Regular"/>
          <w:sz w:val="20"/>
          <w:szCs w:val="20"/>
        </w:rPr>
        <w:tab/>
        <w:t xml:space="preserve"> </w:t>
      </w:r>
    </w:p>
    <w:p>
      <w:pPr>
        <w:pStyle w:val="ListParagraph"/>
        <w:numPr>
          <w:ilvl w:val="1"/>
          <w:numId w:val="3"/>
        </w:numPr>
        <w:rPr>
          <w:rFonts w:ascii="FlandersArtSans-Regular" w:hAnsi="FlandersArtSans-Regular"/>
          <w:sz w:val="20"/>
          <w:szCs w:val="20"/>
        </w:rPr>
      </w:pPr>
      <w:r>
        <w:rPr>
          <w:rFonts w:ascii="FlandersArtSans-Regular" w:hAnsi="FlandersArtSans-Regular"/>
          <w:sz w:val="20"/>
          <w:szCs w:val="20"/>
        </w:rPr>
        <w:t xml:space="preserve">At 13%, export growth to Africa proved decidedly solid in 2017. Sub-Saharan Africa trended upwards even more strongly (+15.6%), with 2017 export sales to Nigeria even recording a 32.6% hike.   </w:t>
      </w:r>
    </w:p>
    <w:p>
      <w:pPr>
        <w:pStyle w:val="ListParagraph"/>
        <w:numPr>
          <w:ilvl w:val="1"/>
          <w:numId w:val="3"/>
        </w:numPr>
        <w:rPr>
          <w:rFonts w:cs="Arial"/>
          <w:sz w:val="20"/>
          <w:szCs w:val="20"/>
        </w:rPr>
      </w:pPr>
      <w:r>
        <w:rPr>
          <w:rFonts w:ascii="FlandersArtSans-Regular" w:eastAsia="Times New Roman" w:hAnsi="FlandersArtSans-Regular" w:cs="Tahoma"/>
          <w:sz w:val="20"/>
          <w:szCs w:val="20"/>
        </w:rPr>
        <w:t>Finally, Flemish exports down under grew by 4.2%: both Australia and New-Zealand experienced export value increases of 3.47% and 12.7% respectively.</w:t>
      </w:r>
    </w:p>
    <w:p>
      <w:pPr>
        <w:pStyle w:val="ListParagraph"/>
        <w:numPr>
          <w:ilvl w:val="1"/>
          <w:numId w:val="3"/>
        </w:numPr>
        <w:rPr>
          <w:rFonts w:cs="Arial"/>
          <w:b/>
        </w:rPr>
      </w:pPr>
      <w:r>
        <w:rPr>
          <w:rFonts w:ascii="FlandersArtSans-Regular" w:hAnsi="FlandersArtSans-Regular" w:cs="Arial"/>
          <w:sz w:val="20"/>
          <w:szCs w:val="20"/>
        </w:rPr>
        <w:t>Only on the American continent did Flemish exports contract in 2017, a 4.56% decline, mainly due to the poor showing of sales to the United States, where exports took a beating and plummeted by as much as 13.9%, a value decrease of EUR 2.46 billion compared with 2016.</w:t>
      </w:r>
      <w:r>
        <w:rPr>
          <w:rFonts w:cs="Arial"/>
        </w:rPr>
        <w:br/>
      </w:r>
      <w:r>
        <w:rPr>
          <w:rFonts w:ascii="FlandersArtSans-Regular" w:hAnsi="FlandersArtSans-Regular" w:cs="Arial"/>
          <w:sz w:val="20"/>
          <w:szCs w:val="20"/>
        </w:rPr>
        <w:t xml:space="preserve">Commodities particularly affected by the drop in exports to the US were </w:t>
      </w:r>
      <w:r>
        <w:rPr>
          <w:rFonts w:ascii="FlandersArtSans-Regular" w:hAnsi="FlandersArtSans-Regular" w:cs="Arial"/>
          <w:i/>
          <w:sz w:val="20"/>
          <w:szCs w:val="20"/>
        </w:rPr>
        <w:t>organic chemicals</w:t>
      </w:r>
      <w:r>
        <w:rPr>
          <w:rFonts w:ascii="FlandersArtSans-Regular" w:hAnsi="FlandersArtSans-Regular" w:cs="Arial"/>
          <w:sz w:val="20"/>
          <w:szCs w:val="20"/>
        </w:rPr>
        <w:t xml:space="preserve">, down </w:t>
      </w:r>
      <w:r>
        <w:rPr>
          <w:rFonts w:ascii="FlandersArtSans-Regular" w:hAnsi="FlandersArtSans-Regular" w:cs="Arial"/>
          <w:sz w:val="20"/>
          <w:szCs w:val="20"/>
        </w:rPr>
        <w:br/>
      </w:r>
      <w:r>
        <w:rPr>
          <w:rFonts w:ascii="FlandersArtSans-Regular" w:hAnsi="FlandersArtSans-Regular" w:cs="Arial"/>
          <w:sz w:val="20"/>
          <w:szCs w:val="20"/>
        </w:rPr>
        <w:lastRenderedPageBreak/>
        <w:t xml:space="preserve">EUR 1.5 billion (-44%) and </w:t>
      </w:r>
      <w:r>
        <w:rPr>
          <w:rFonts w:ascii="FlandersArtSans-Regular" w:hAnsi="FlandersArtSans-Regular" w:cs="Arial"/>
          <w:i/>
          <w:sz w:val="20"/>
          <w:szCs w:val="20"/>
        </w:rPr>
        <w:t>pharmaceuticals</w:t>
      </w:r>
      <w:r>
        <w:rPr>
          <w:rFonts w:ascii="FlandersArtSans-Regular" w:hAnsi="FlandersArtSans-Regular" w:cs="Arial"/>
          <w:sz w:val="20"/>
          <w:szCs w:val="20"/>
        </w:rPr>
        <w:t>, down over EUR 1 billion (-21.7%).</w:t>
      </w:r>
      <w:r>
        <w:rPr>
          <w:rFonts w:cs="Arial"/>
        </w:rPr>
        <w:br/>
      </w:r>
      <w:r>
        <w:rPr>
          <w:rFonts w:ascii="FlandersArtSans-Regular" w:hAnsi="FlandersArtSans-Regular" w:cs="Arial"/>
          <w:sz w:val="20"/>
          <w:szCs w:val="20"/>
        </w:rPr>
        <w:t xml:space="preserve">Conversely, Canada posted far better figures in 2017, as Flemish exports there surged by 23.2%, an increase led by </w:t>
      </w:r>
      <w:r>
        <w:rPr>
          <w:rFonts w:ascii="FlandersArtSans-Regular" w:hAnsi="FlandersArtSans-Regular"/>
          <w:i/>
          <w:sz w:val="20"/>
          <w:szCs w:val="20"/>
        </w:rPr>
        <w:t xml:space="preserve">chemicals </w:t>
      </w:r>
      <w:r>
        <w:rPr>
          <w:rFonts w:ascii="FlandersArtSans-Regular" w:hAnsi="FlandersArtSans-Regular"/>
          <w:sz w:val="20"/>
          <w:szCs w:val="20"/>
        </w:rPr>
        <w:t xml:space="preserve">and </w:t>
      </w:r>
      <w:r>
        <w:rPr>
          <w:rFonts w:ascii="FlandersArtSans-Regular" w:hAnsi="FlandersArtSans-Regular"/>
          <w:i/>
          <w:sz w:val="20"/>
          <w:szCs w:val="20"/>
        </w:rPr>
        <w:t>pharmaceutical products</w:t>
      </w:r>
      <w:r>
        <w:rPr>
          <w:rFonts w:ascii="FlandersArtSans-Regular" w:hAnsi="FlandersArtSans-Regular"/>
          <w:sz w:val="20"/>
          <w:szCs w:val="20"/>
        </w:rPr>
        <w:t>.</w:t>
      </w:r>
    </w:p>
    <w:tbl>
      <w:tblPr>
        <w:tblW w:w="9486" w:type="dxa"/>
        <w:jc w:val="center"/>
        <w:tblCellMar>
          <w:left w:w="70" w:type="dxa"/>
          <w:right w:w="70" w:type="dxa"/>
        </w:tblCellMar>
        <w:tblLook w:val="04A0" w:firstRow="1" w:lastRow="0" w:firstColumn="1" w:lastColumn="0" w:noHBand="0" w:noVBand="1"/>
      </w:tblPr>
      <w:tblGrid>
        <w:gridCol w:w="1731"/>
        <w:gridCol w:w="1592"/>
        <w:gridCol w:w="1446"/>
        <w:gridCol w:w="1447"/>
        <w:gridCol w:w="1434"/>
        <w:gridCol w:w="1836"/>
      </w:tblGrid>
      <w:tr>
        <w:trPr>
          <w:trHeight w:hRule="exact" w:val="542"/>
          <w:jc w:val="center"/>
        </w:trPr>
        <w:tc>
          <w:tcPr>
            <w:tcW w:w="9486" w:type="dxa"/>
            <w:gridSpan w:val="6"/>
            <w:tcBorders>
              <w:top w:val="single" w:sz="4" w:space="0" w:color="auto"/>
              <w:left w:val="single" w:sz="4" w:space="0" w:color="auto"/>
              <w:bottom w:val="single" w:sz="4" w:space="0" w:color="auto"/>
              <w:right w:val="single" w:sz="4" w:space="0" w:color="000000"/>
            </w:tcBorders>
            <w:shd w:val="clear" w:color="000000" w:fill="BDD7EE"/>
            <w:noWrap/>
            <w:vAlign w:val="center"/>
            <w:hideMark/>
          </w:tcPr>
          <w:p>
            <w:pPr>
              <w:spacing w:after="0" w:line="240" w:lineRule="auto"/>
              <w:jc w:val="center"/>
              <w:rPr>
                <w:rFonts w:ascii="FlandersArtSans-Regular" w:eastAsia="Times New Roman" w:hAnsi="FlandersArtSans-Regular"/>
                <w:b/>
                <w:bCs/>
                <w:color w:val="000000" w:themeColor="text1"/>
                <w:sz w:val="24"/>
                <w:szCs w:val="24"/>
                <w:lang w:val="nl-BE" w:eastAsia="nl-BE"/>
              </w:rPr>
            </w:pPr>
            <w:bookmarkStart w:id="1" w:name="_Hlk510015364"/>
            <w:r>
              <w:rPr>
                <w:rFonts w:ascii="FlandersArtSans-Regular" w:eastAsia="Times New Roman" w:hAnsi="FlandersArtSans-Regular"/>
                <w:b/>
                <w:bCs/>
                <w:color w:val="000000" w:themeColor="text1"/>
                <w:sz w:val="24"/>
                <w:szCs w:val="24"/>
                <w:lang w:val="nl-BE" w:eastAsia="nl-BE"/>
              </w:rPr>
              <w:t>Flemish exports in 2017</w:t>
            </w:r>
          </w:p>
        </w:tc>
      </w:tr>
      <w:tr>
        <w:trPr>
          <w:trHeight w:hRule="exact" w:val="742"/>
          <w:jc w:val="center"/>
        </w:trPr>
        <w:tc>
          <w:tcPr>
            <w:tcW w:w="1731" w:type="dxa"/>
            <w:tcBorders>
              <w:top w:val="nil"/>
              <w:left w:val="single" w:sz="4" w:space="0" w:color="auto"/>
              <w:bottom w:val="nil"/>
              <w:right w:val="single" w:sz="4" w:space="0" w:color="auto"/>
            </w:tcBorders>
            <w:shd w:val="clear" w:color="000000" w:fill="BDD7EE"/>
            <w:vAlign w:val="center"/>
            <w:hideMark/>
          </w:tcPr>
          <w:p>
            <w:pPr>
              <w:spacing w:after="0" w:line="240" w:lineRule="auto"/>
              <w:jc w:val="center"/>
              <w:rPr>
                <w:rFonts w:ascii="FlandersArtSans-Regular" w:eastAsia="Times New Roman" w:hAnsi="FlandersArtSans-Regular"/>
                <w:b/>
                <w:bCs/>
                <w:color w:val="000000" w:themeColor="text1"/>
                <w:sz w:val="20"/>
                <w:szCs w:val="20"/>
                <w:lang w:val="nl-BE" w:eastAsia="nl-BE"/>
              </w:rPr>
            </w:pPr>
            <w:r>
              <w:rPr>
                <w:rFonts w:ascii="FlandersArtSans-Regular" w:eastAsia="Times New Roman" w:hAnsi="FlandersArtSans-Regular"/>
                <w:b/>
                <w:bCs/>
                <w:color w:val="000000" w:themeColor="text1"/>
                <w:sz w:val="20"/>
                <w:szCs w:val="20"/>
                <w:lang w:val="nl-BE" w:eastAsia="nl-BE"/>
              </w:rPr>
              <w:t>Continent</w:t>
            </w:r>
          </w:p>
        </w:tc>
        <w:tc>
          <w:tcPr>
            <w:tcW w:w="1592" w:type="dxa"/>
            <w:tcBorders>
              <w:top w:val="nil"/>
              <w:left w:val="nil"/>
              <w:bottom w:val="nil"/>
              <w:right w:val="single" w:sz="4" w:space="0" w:color="auto"/>
            </w:tcBorders>
            <w:shd w:val="clear" w:color="000000" w:fill="BDD7EE"/>
            <w:noWrap/>
            <w:vAlign w:val="center"/>
            <w:hideMark/>
          </w:tcPr>
          <w:p>
            <w:pPr>
              <w:spacing w:after="0" w:line="240" w:lineRule="auto"/>
              <w:jc w:val="center"/>
              <w:rPr>
                <w:rFonts w:ascii="FlandersArtSans-Regular" w:eastAsia="Times New Roman" w:hAnsi="FlandersArtSans-Regular"/>
                <w:b/>
                <w:bCs/>
                <w:color w:val="000000" w:themeColor="text1"/>
                <w:sz w:val="20"/>
                <w:szCs w:val="20"/>
                <w:lang w:val="nl-BE" w:eastAsia="nl-BE"/>
              </w:rPr>
            </w:pPr>
            <w:r>
              <w:rPr>
                <w:rFonts w:ascii="FlandersArtSans-Regular" w:eastAsia="Times New Roman" w:hAnsi="FlandersArtSans-Regular"/>
                <w:b/>
                <w:bCs/>
                <w:color w:val="000000" w:themeColor="text1"/>
                <w:sz w:val="20"/>
                <w:szCs w:val="20"/>
                <w:lang w:val="nl-BE" w:eastAsia="nl-BE"/>
              </w:rPr>
              <w:t xml:space="preserve">2016  </w:t>
            </w:r>
          </w:p>
        </w:tc>
        <w:tc>
          <w:tcPr>
            <w:tcW w:w="1446" w:type="dxa"/>
            <w:tcBorders>
              <w:top w:val="nil"/>
              <w:left w:val="nil"/>
              <w:bottom w:val="nil"/>
              <w:right w:val="single" w:sz="4" w:space="0" w:color="auto"/>
            </w:tcBorders>
            <w:shd w:val="clear" w:color="000000" w:fill="BDD7EE"/>
            <w:noWrap/>
            <w:vAlign w:val="center"/>
            <w:hideMark/>
          </w:tcPr>
          <w:p>
            <w:pPr>
              <w:spacing w:after="0" w:line="240" w:lineRule="auto"/>
              <w:jc w:val="center"/>
              <w:rPr>
                <w:rFonts w:ascii="FlandersArtSans-Regular" w:eastAsia="Times New Roman" w:hAnsi="FlandersArtSans-Regular"/>
                <w:b/>
                <w:bCs/>
                <w:color w:val="000000" w:themeColor="text1"/>
                <w:sz w:val="20"/>
                <w:szCs w:val="20"/>
                <w:lang w:val="nl-BE" w:eastAsia="nl-BE"/>
              </w:rPr>
            </w:pPr>
            <w:r>
              <w:rPr>
                <w:rFonts w:ascii="FlandersArtSans-Regular" w:eastAsia="Times New Roman" w:hAnsi="FlandersArtSans-Regular"/>
                <w:b/>
                <w:bCs/>
                <w:color w:val="000000" w:themeColor="text1"/>
                <w:sz w:val="20"/>
                <w:szCs w:val="20"/>
                <w:lang w:val="nl-BE" w:eastAsia="nl-BE"/>
              </w:rPr>
              <w:t xml:space="preserve">2017 </w:t>
            </w:r>
          </w:p>
        </w:tc>
        <w:tc>
          <w:tcPr>
            <w:tcW w:w="1447" w:type="dxa"/>
            <w:tcBorders>
              <w:top w:val="nil"/>
              <w:left w:val="nil"/>
              <w:bottom w:val="nil"/>
              <w:right w:val="single" w:sz="4" w:space="0" w:color="auto"/>
            </w:tcBorders>
            <w:shd w:val="clear" w:color="000000" w:fill="BDD7EE"/>
            <w:vAlign w:val="center"/>
            <w:hideMark/>
          </w:tcPr>
          <w:p>
            <w:pPr>
              <w:spacing w:after="0" w:line="240" w:lineRule="auto"/>
              <w:jc w:val="center"/>
              <w:rPr>
                <w:rFonts w:ascii="FlandersArtSans-Regular" w:eastAsia="Times New Roman" w:hAnsi="FlandersArtSans-Regular"/>
                <w:b/>
                <w:bCs/>
                <w:color w:val="000000" w:themeColor="text1"/>
                <w:sz w:val="20"/>
                <w:szCs w:val="20"/>
                <w:lang w:val="nl-BE" w:eastAsia="nl-BE"/>
              </w:rPr>
            </w:pPr>
            <w:r>
              <w:rPr>
                <w:rFonts w:ascii="FlandersArtSans-Regular" w:eastAsia="Times New Roman" w:hAnsi="FlandersArtSans-Regular"/>
                <w:b/>
                <w:bCs/>
                <w:color w:val="000000" w:themeColor="text1"/>
                <w:sz w:val="18"/>
                <w:szCs w:val="20"/>
                <w:lang w:val="nl-BE" w:eastAsia="nl-BE"/>
              </w:rPr>
              <w:t xml:space="preserve">% change </w:t>
            </w:r>
            <w:r>
              <w:rPr>
                <w:rFonts w:ascii="FlandersArtSans-Regular" w:eastAsia="Times New Roman" w:hAnsi="FlandersArtSans-Regular"/>
                <w:b/>
                <w:bCs/>
                <w:color w:val="000000" w:themeColor="text1"/>
                <w:sz w:val="18"/>
                <w:szCs w:val="20"/>
                <w:lang w:val="nl-BE" w:eastAsia="nl-BE"/>
              </w:rPr>
              <w:br/>
              <w:t xml:space="preserve">2016 - 2017 </w:t>
            </w:r>
          </w:p>
        </w:tc>
        <w:tc>
          <w:tcPr>
            <w:tcW w:w="1434" w:type="dxa"/>
            <w:tcBorders>
              <w:top w:val="nil"/>
              <w:left w:val="nil"/>
              <w:bottom w:val="nil"/>
              <w:right w:val="single" w:sz="4" w:space="0" w:color="auto"/>
            </w:tcBorders>
            <w:shd w:val="clear" w:color="000000" w:fill="BDD7EE"/>
            <w:vAlign w:val="center"/>
            <w:hideMark/>
          </w:tcPr>
          <w:p>
            <w:pPr>
              <w:spacing w:after="0" w:line="240" w:lineRule="auto"/>
              <w:jc w:val="center"/>
              <w:rPr>
                <w:rFonts w:ascii="FlandersArtSans-Regular" w:eastAsia="Times New Roman" w:hAnsi="FlandersArtSans-Regular"/>
                <w:b/>
                <w:bCs/>
                <w:color w:val="000000" w:themeColor="text1"/>
                <w:sz w:val="20"/>
                <w:szCs w:val="20"/>
                <w:lang w:val="nl-BE" w:eastAsia="nl-BE"/>
              </w:rPr>
            </w:pPr>
            <w:r>
              <w:rPr>
                <w:rFonts w:ascii="FlandersArtSans-Regular" w:eastAsia="Times New Roman" w:hAnsi="FlandersArtSans-Regular"/>
                <w:b/>
                <w:bCs/>
                <w:color w:val="000000" w:themeColor="text1"/>
                <w:sz w:val="20"/>
                <w:szCs w:val="20"/>
                <w:lang w:val="nl-BE" w:eastAsia="nl-BE"/>
              </w:rPr>
              <w:t>% share 2016</w:t>
            </w:r>
          </w:p>
        </w:tc>
        <w:tc>
          <w:tcPr>
            <w:tcW w:w="1836" w:type="dxa"/>
            <w:tcBorders>
              <w:top w:val="nil"/>
              <w:left w:val="nil"/>
              <w:bottom w:val="nil"/>
              <w:right w:val="single" w:sz="4" w:space="0" w:color="auto"/>
            </w:tcBorders>
            <w:shd w:val="clear" w:color="000000" w:fill="BDD7EE"/>
            <w:vAlign w:val="center"/>
            <w:hideMark/>
          </w:tcPr>
          <w:p>
            <w:pPr>
              <w:spacing w:after="0" w:line="240" w:lineRule="auto"/>
              <w:jc w:val="center"/>
              <w:rPr>
                <w:rFonts w:ascii="FlandersArtSans-Regular" w:eastAsia="Times New Roman" w:hAnsi="FlandersArtSans-Regular"/>
                <w:b/>
                <w:bCs/>
                <w:color w:val="000000" w:themeColor="text1"/>
                <w:sz w:val="16"/>
                <w:szCs w:val="20"/>
                <w:lang w:val="nl-BE" w:eastAsia="nl-BE"/>
              </w:rPr>
            </w:pPr>
            <w:r>
              <w:rPr>
                <w:rFonts w:ascii="FlandersArtSans-Regular" w:eastAsia="Times New Roman" w:hAnsi="FlandersArtSans-Regular"/>
                <w:b/>
                <w:bCs/>
                <w:color w:val="000000" w:themeColor="text1"/>
                <w:sz w:val="20"/>
                <w:szCs w:val="20"/>
                <w:lang w:val="nl-BE" w:eastAsia="nl-BE"/>
              </w:rPr>
              <w:t>% share 2017</w:t>
            </w:r>
            <w:r>
              <w:rPr>
                <w:rFonts w:ascii="FlandersArtSans-Regular" w:eastAsia="Times New Roman" w:hAnsi="FlandersArtSans-Regular"/>
                <w:b/>
                <w:bCs/>
                <w:color w:val="000000" w:themeColor="text1"/>
                <w:sz w:val="16"/>
                <w:szCs w:val="20"/>
                <w:lang w:val="nl-BE" w:eastAsia="nl-BE"/>
              </w:rPr>
              <w:t xml:space="preserve"> </w:t>
            </w:r>
          </w:p>
        </w:tc>
      </w:tr>
      <w:tr>
        <w:trPr>
          <w:trHeight w:hRule="exact" w:val="342"/>
          <w:jc w:val="center"/>
        </w:trPr>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FlandersArtSans-Regular" w:eastAsia="Times New Roman" w:hAnsi="FlandersArtSans-Regular"/>
                <w:color w:val="000000" w:themeColor="text1"/>
                <w:sz w:val="20"/>
                <w:szCs w:val="20"/>
                <w:lang w:val="nl-BE" w:eastAsia="nl-BE"/>
              </w:rPr>
            </w:pPr>
            <w:r>
              <w:rPr>
                <w:rFonts w:ascii="Cambria" w:eastAsia="Times New Roman" w:hAnsi="Cambria" w:cs="Cambria"/>
                <w:color w:val="000000" w:themeColor="text1"/>
                <w:sz w:val="20"/>
                <w:szCs w:val="20"/>
                <w:lang w:val="nl-BE" w:eastAsia="nl-BE"/>
              </w:rPr>
              <w:t> </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pPr>
              <w:spacing w:after="0" w:line="240" w:lineRule="auto"/>
              <w:jc w:val="center"/>
              <w:rPr>
                <w:rFonts w:ascii="FlandersArtSans-Regular" w:eastAsia="Times New Roman" w:hAnsi="FlandersArtSans-Regular"/>
                <w:b/>
                <w:bCs/>
                <w:color w:val="000000" w:themeColor="text1"/>
                <w:sz w:val="16"/>
                <w:szCs w:val="16"/>
                <w:lang w:val="nl-BE" w:eastAsia="nl-BE"/>
              </w:rPr>
            </w:pPr>
            <w:r>
              <w:rPr>
                <w:rFonts w:ascii="FlandersArtSans-Regular" w:eastAsia="Times New Roman" w:hAnsi="FlandersArtSans-Regular"/>
                <w:b/>
                <w:bCs/>
                <w:color w:val="000000" w:themeColor="text1"/>
                <w:sz w:val="16"/>
                <w:szCs w:val="16"/>
                <w:lang w:val="nl-BE" w:eastAsia="nl-BE"/>
              </w:rPr>
              <w:t xml:space="preserve">x EUR billion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20"/>
                <w:szCs w:val="20"/>
                <w:lang w:val="nl-BE" w:eastAsia="nl-BE"/>
              </w:rPr>
            </w:pPr>
            <w:r>
              <w:rPr>
                <w:rFonts w:ascii="FlandersArtSans-Regular" w:eastAsia="Times New Roman" w:hAnsi="FlandersArtSans-Regular"/>
                <w:b/>
                <w:bCs/>
                <w:color w:val="000000" w:themeColor="text1"/>
                <w:sz w:val="16"/>
                <w:szCs w:val="16"/>
                <w:lang w:val="nl-BE" w:eastAsia="nl-BE"/>
              </w:rPr>
              <w:t>%</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20"/>
                <w:szCs w:val="20"/>
                <w:lang w:val="nl-BE" w:eastAsia="nl-BE"/>
              </w:rPr>
            </w:pPr>
            <w:r>
              <w:rPr>
                <w:rFonts w:ascii="FlandersArtSans-Regular" w:eastAsia="Times New Roman" w:hAnsi="FlandersArtSans-Regular"/>
                <w:b/>
                <w:bCs/>
                <w:color w:val="000000" w:themeColor="text1"/>
                <w:sz w:val="16"/>
                <w:szCs w:val="16"/>
                <w:lang w:val="nl-BE" w:eastAsia="nl-BE"/>
              </w:rPr>
              <w:t>%</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20"/>
                <w:szCs w:val="20"/>
                <w:lang w:val="nl-BE" w:eastAsia="nl-BE"/>
              </w:rPr>
            </w:pPr>
            <w:r>
              <w:rPr>
                <w:rFonts w:ascii="FlandersArtSans-Regular" w:eastAsia="Times New Roman" w:hAnsi="FlandersArtSans-Regular"/>
                <w:b/>
                <w:bCs/>
                <w:color w:val="000000" w:themeColor="text1"/>
                <w:sz w:val="16"/>
                <w:szCs w:val="16"/>
                <w:lang w:val="nl-BE" w:eastAsia="nl-BE"/>
              </w:rPr>
              <w:t>%</w:t>
            </w:r>
          </w:p>
        </w:tc>
      </w:tr>
      <w:tr>
        <w:trPr>
          <w:trHeight w:val="343"/>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000000" w:themeColor="text1"/>
                <w:sz w:val="18"/>
                <w:szCs w:val="18"/>
                <w:lang w:val="nl-BE" w:eastAsia="nl-BE"/>
              </w:rPr>
            </w:pPr>
            <w:r>
              <w:rPr>
                <w:rFonts w:ascii="FlandersArtSans-Regular" w:eastAsia="Times New Roman" w:hAnsi="FlandersArtSans-Regular"/>
                <w:b/>
                <w:bCs/>
                <w:color w:val="000000" w:themeColor="text1"/>
                <w:sz w:val="18"/>
                <w:szCs w:val="18"/>
                <w:lang w:val="nl-BE" w:eastAsia="nl-BE"/>
              </w:rPr>
              <w:t>intra-EU28</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lang w:val="nl-BE" w:eastAsia="nl-BE"/>
              </w:rPr>
            </w:pPr>
            <w:r>
              <w:rPr>
                <w:rFonts w:ascii="FlandersArtSans-Regular" w:hAnsi="FlandersArtSans-Regular" w:cs="Calibri"/>
                <w:b/>
                <w:bCs/>
                <w:color w:val="000000" w:themeColor="text1"/>
                <w:sz w:val="18"/>
                <w:szCs w:val="18"/>
              </w:rPr>
              <w:t>212.24</w:t>
            </w:r>
          </w:p>
        </w:tc>
        <w:tc>
          <w:tcPr>
            <w:tcW w:w="1446" w:type="dxa"/>
            <w:tcBorders>
              <w:top w:val="nil"/>
              <w:left w:val="nil"/>
              <w:bottom w:val="single" w:sz="4" w:space="0" w:color="auto"/>
              <w:right w:val="single" w:sz="4" w:space="0" w:color="auto"/>
            </w:tcBorders>
            <w:shd w:val="clear" w:color="000000" w:fill="CCECFF"/>
            <w:noWrap/>
            <w:vAlign w:val="center"/>
          </w:tcPr>
          <w:p>
            <w:pPr>
              <w:spacing w:after="0" w:line="240" w:lineRule="auto"/>
              <w:jc w:val="center"/>
              <w:rPr>
                <w:rFonts w:ascii="FlandersArtSans-Regular" w:hAnsi="FlandersArtSans-Regular" w:cs="Calibri"/>
                <w:b/>
                <w:bCs/>
                <w:color w:val="FF0000"/>
                <w:sz w:val="18"/>
                <w:szCs w:val="18"/>
              </w:rPr>
            </w:pPr>
            <w:r>
              <w:rPr>
                <w:rFonts w:ascii="FlandersArtSans-Regular" w:hAnsi="FlandersArtSans-Regular" w:cs="Calibri"/>
                <w:b/>
                <w:bCs/>
                <w:color w:val="000000" w:themeColor="text1"/>
                <w:sz w:val="18"/>
                <w:szCs w:val="18"/>
              </w:rPr>
              <w:t>222.25</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color w:val="FF0000"/>
                <w:lang w:val="nl-BE" w:eastAsia="nl-BE"/>
              </w:rPr>
            </w:pPr>
            <w:r>
              <w:rPr>
                <w:rFonts w:ascii="FlandersArtSans-Regular" w:hAnsi="FlandersArtSans-Regular" w:cs="Calibri"/>
                <w:b/>
                <w:bCs/>
                <w:color w:val="000000" w:themeColor="text1"/>
                <w:sz w:val="18"/>
                <w:szCs w:val="18"/>
              </w:rPr>
              <w:t>+4.72%</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color w:val="FF0000"/>
                <w:lang w:val="nl-BE" w:eastAsia="nl-BE"/>
              </w:rPr>
            </w:pPr>
            <w:r>
              <w:rPr>
                <w:rFonts w:ascii="FlandersArtSans-Regular" w:hAnsi="FlandersArtSans-Regular" w:cs="Calibri"/>
                <w:b/>
                <w:bCs/>
                <w:color w:val="000000" w:themeColor="text1"/>
                <w:sz w:val="18"/>
                <w:szCs w:val="18"/>
              </w:rPr>
              <w:t>70.28%</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color w:val="FF0000"/>
                <w:sz w:val="18"/>
                <w:szCs w:val="18"/>
                <w:lang w:val="nl-BE"/>
              </w:rPr>
            </w:pPr>
            <w:r>
              <w:rPr>
                <w:rFonts w:ascii="FlandersArtSans-Regular" w:hAnsi="FlandersArtSans-Regular" w:cs="Calibri"/>
                <w:b/>
                <w:bCs/>
                <w:color w:val="000000" w:themeColor="text1"/>
                <w:sz w:val="18"/>
                <w:szCs w:val="18"/>
              </w:rPr>
              <w:t>70.09%</w:t>
            </w:r>
          </w:p>
        </w:tc>
      </w:tr>
      <w:tr>
        <w:trPr>
          <w:trHeight w:val="269"/>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FF0000"/>
                <w:sz w:val="18"/>
                <w:szCs w:val="18"/>
                <w:lang w:val="nl-BE" w:eastAsia="nl-BE"/>
              </w:rPr>
            </w:pPr>
            <w:r>
              <w:rPr>
                <w:rFonts w:ascii="FlandersArtSans-Regular" w:eastAsia="Times New Roman" w:hAnsi="FlandersArtSans-Regular"/>
                <w:b/>
                <w:bCs/>
                <w:color w:val="000000" w:themeColor="text1"/>
                <w:sz w:val="18"/>
                <w:szCs w:val="18"/>
                <w:lang w:val="nl-BE" w:eastAsia="nl-BE"/>
              </w:rPr>
              <w:t>extra-EU28</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89.76</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94.82</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b/>
                <w:color w:val="FF0000"/>
                <w:sz w:val="18"/>
                <w:szCs w:val="18"/>
                <w:lang w:val="nl-BE" w:eastAsia="nl-BE"/>
              </w:rPr>
            </w:pPr>
            <w:r>
              <w:rPr>
                <w:rFonts w:ascii="FlandersArtSans-Regular" w:hAnsi="FlandersArtSans-Regular" w:cs="Calibri"/>
                <w:b/>
                <w:bCs/>
                <w:color w:val="000000" w:themeColor="text1"/>
                <w:sz w:val="18"/>
                <w:szCs w:val="18"/>
              </w:rPr>
              <w:t>+5.64%</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cs="Calibri"/>
                <w:color w:val="FF0000"/>
                <w:lang w:val="nl-BE" w:eastAsia="nl-BE"/>
              </w:rPr>
            </w:pPr>
            <w:r>
              <w:rPr>
                <w:rFonts w:ascii="FlandersArtSans-Regular" w:hAnsi="FlandersArtSans-Regular" w:cs="Calibri"/>
                <w:b/>
                <w:bCs/>
                <w:color w:val="000000" w:themeColor="text1"/>
                <w:sz w:val="18"/>
                <w:szCs w:val="18"/>
              </w:rPr>
              <w:t>29.72%</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color w:val="FF0000"/>
                <w:sz w:val="18"/>
                <w:szCs w:val="18"/>
              </w:rPr>
            </w:pPr>
            <w:r>
              <w:rPr>
                <w:rFonts w:ascii="FlandersArtSans-Regular" w:hAnsi="FlandersArtSans-Regular" w:cs="Calibri"/>
                <w:b/>
                <w:bCs/>
                <w:color w:val="000000" w:themeColor="text1"/>
                <w:sz w:val="18"/>
                <w:szCs w:val="18"/>
              </w:rPr>
              <w:t>29.91%</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Cambria" w:eastAsia="Times New Roman" w:hAnsi="Cambria" w:cs="Cambria"/>
                <w:color w:val="FF0000"/>
                <w:sz w:val="18"/>
                <w:szCs w:val="18"/>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Cambria" w:eastAsia="Times New Roman" w:hAnsi="Cambria" w:cs="Cambria"/>
                <w:color w:val="FF0000"/>
                <w:sz w:val="18"/>
                <w:szCs w:val="18"/>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FlandersArtSans-Regular" w:eastAsia="Times New Roman" w:hAnsi="FlandersArtSans-Regular"/>
                <w:color w:val="FF0000"/>
                <w:sz w:val="18"/>
                <w:szCs w:val="18"/>
                <w:lang w:val="nl-BE" w:eastAsia="nl-BE"/>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FlandersArtSans-Regular" w:eastAsia="Times New Roman" w:hAnsi="FlandersArtSans-Regular"/>
                <w:color w:val="FF0000"/>
                <w:sz w:val="18"/>
                <w:szCs w:val="18"/>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FlandersArtSans-Regular" w:eastAsia="Times New Roman" w:hAnsi="FlandersArtSans-Regular"/>
                <w:color w:val="FF0000"/>
                <w:sz w:val="18"/>
                <w:szCs w:val="18"/>
                <w:lang w:val="nl-BE" w:eastAsia="nl-BE"/>
              </w:rPr>
              <w:t xml:space="preserve"> </w:t>
            </w:r>
          </w:p>
        </w:tc>
      </w:tr>
      <w:tr>
        <w:trPr>
          <w:trHeight w:val="198"/>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color w:val="FF0000"/>
                <w:sz w:val="18"/>
                <w:szCs w:val="18"/>
                <w:lang w:val="nl-BE" w:eastAsia="nl-BE"/>
              </w:rPr>
            </w:pPr>
            <w:r>
              <w:rPr>
                <w:rFonts w:ascii="FlandersArtSans-Regular" w:eastAsia="Times New Roman" w:hAnsi="FlandersArtSans-Regular"/>
                <w:b/>
                <w:bCs/>
                <w:color w:val="000000" w:themeColor="text1"/>
                <w:sz w:val="18"/>
                <w:szCs w:val="18"/>
                <w:lang w:val="nl-BE" w:eastAsia="nl-BE"/>
              </w:rPr>
              <w:t>Europe</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227.07</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239.69</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FF0000"/>
                <w:lang w:val="nl-BE" w:eastAsia="nl-BE"/>
              </w:rPr>
            </w:pPr>
            <w:r>
              <w:rPr>
                <w:rFonts w:ascii="FlandersArtSans-Regular" w:hAnsi="FlandersArtSans-Regular" w:cs="Calibri"/>
                <w:b/>
                <w:bCs/>
                <w:color w:val="000000" w:themeColor="text1"/>
                <w:sz w:val="18"/>
                <w:szCs w:val="18"/>
              </w:rPr>
              <w:t>+5.56%</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eastAsia="Times New Roman" w:hAnsi="FlandersArtSans-Regular"/>
                <w:b/>
                <w:bCs/>
                <w:color w:val="FF0000"/>
                <w:sz w:val="18"/>
                <w:szCs w:val="18"/>
                <w:lang w:val="nl-BE" w:eastAsia="nl-BE"/>
              </w:rPr>
            </w:pPr>
            <w:r>
              <w:rPr>
                <w:rFonts w:ascii="FlandersArtSans-Regular" w:hAnsi="FlandersArtSans-Regular" w:cs="Calibri"/>
                <w:b/>
                <w:bCs/>
                <w:color w:val="000000" w:themeColor="text1"/>
                <w:sz w:val="18"/>
                <w:szCs w:val="18"/>
              </w:rPr>
              <w:t>75.19%</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eastAsia="Times New Roman" w:hAnsi="FlandersArtSans-Regular"/>
                <w:b/>
                <w:bCs/>
                <w:color w:val="FF0000"/>
                <w:sz w:val="18"/>
                <w:szCs w:val="18"/>
                <w:lang w:val="nl-BE" w:eastAsia="nl-BE"/>
              </w:rPr>
            </w:pPr>
            <w:r>
              <w:rPr>
                <w:rFonts w:ascii="FlandersArtSans-Regular" w:hAnsi="FlandersArtSans-Regular" w:cs="Calibri"/>
                <w:b/>
                <w:bCs/>
                <w:color w:val="000000" w:themeColor="text1"/>
                <w:sz w:val="18"/>
                <w:szCs w:val="18"/>
              </w:rPr>
              <w:t>75.60%</w:t>
            </w:r>
          </w:p>
        </w:tc>
      </w:tr>
      <w:tr>
        <w:trPr>
          <w:trHeight w:hRule="exact" w:val="407"/>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European Union (EU28)</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6"/>
                <w:szCs w:val="16"/>
                <w:lang w:val="nl-BE" w:eastAsia="nl-BE"/>
              </w:rPr>
            </w:pPr>
            <w:r>
              <w:rPr>
                <w:rFonts w:ascii="FlandersArtSans-Regular" w:hAnsi="FlandersArtSans-Regular" w:cs="Calibri"/>
                <w:bCs/>
                <w:color w:val="000000" w:themeColor="text1"/>
                <w:sz w:val="16"/>
                <w:szCs w:val="16"/>
              </w:rPr>
              <w:t>212.24</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6"/>
                <w:szCs w:val="16"/>
                <w:lang w:val="nl-BE" w:eastAsia="nl-BE"/>
              </w:rPr>
            </w:pPr>
            <w:r>
              <w:rPr>
                <w:rFonts w:ascii="FlandersArtSans-Regular" w:hAnsi="FlandersArtSans-Regular" w:cs="Calibri"/>
                <w:bCs/>
                <w:color w:val="000000" w:themeColor="text1"/>
                <w:sz w:val="16"/>
                <w:szCs w:val="16"/>
              </w:rPr>
              <w:t>222.25</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+4.72%</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70.28%</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70.09%</w:t>
            </w:r>
          </w:p>
        </w:tc>
      </w:tr>
      <w:tr>
        <w:trPr>
          <w:trHeight w:hRule="exact" w:val="44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eastAsia="nl-BE"/>
              </w:rPr>
            </w:pPr>
            <w:r>
              <w:rPr>
                <w:rFonts w:ascii="FlandersArtSans-Regular" w:eastAsia="Times New Roman" w:hAnsi="FlandersArtSans-Regular"/>
                <w:color w:val="000000" w:themeColor="text1"/>
                <w:sz w:val="16"/>
                <w:szCs w:val="16"/>
                <w:lang w:eastAsia="nl-BE"/>
              </w:rPr>
              <w:t xml:space="preserve">Greater Europe </w:t>
            </w:r>
          </w:p>
          <w:p>
            <w:pPr>
              <w:spacing w:after="0" w:line="240" w:lineRule="auto"/>
              <w:rPr>
                <w:rFonts w:ascii="FlandersArtSans-Regular" w:eastAsia="Times New Roman" w:hAnsi="FlandersArtSans-Regular"/>
                <w:color w:val="000000" w:themeColor="text1"/>
                <w:sz w:val="16"/>
                <w:szCs w:val="16"/>
                <w:lang w:eastAsia="nl-BE"/>
              </w:rPr>
            </w:pPr>
            <w:r>
              <w:rPr>
                <w:rFonts w:ascii="FlandersArtSans-Regular" w:eastAsia="Times New Roman" w:hAnsi="FlandersArtSans-Regular"/>
                <w:color w:val="000000" w:themeColor="text1"/>
                <w:sz w:val="16"/>
                <w:szCs w:val="16"/>
                <w:lang w:eastAsia="nl-BE"/>
              </w:rPr>
              <w:t>(Europe non-EU28)</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FF0000"/>
                <w:sz w:val="16"/>
                <w:szCs w:val="16"/>
              </w:rPr>
            </w:pPr>
            <w:r>
              <w:rPr>
                <w:rFonts w:ascii="FlandersArtSans-Regular" w:hAnsi="FlandersArtSans-Regular" w:cs="Calibri"/>
                <w:bCs/>
                <w:color w:val="000000" w:themeColor="text1"/>
                <w:sz w:val="16"/>
                <w:szCs w:val="16"/>
              </w:rPr>
              <w:t>14.83</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FF0000"/>
                <w:sz w:val="16"/>
                <w:szCs w:val="16"/>
              </w:rPr>
            </w:pPr>
            <w:r>
              <w:rPr>
                <w:rFonts w:ascii="FlandersArtSans-Regular" w:hAnsi="FlandersArtSans-Regular" w:cs="Calibri"/>
                <w:bCs/>
                <w:color w:val="000000" w:themeColor="text1"/>
                <w:sz w:val="16"/>
                <w:szCs w:val="16"/>
              </w:rPr>
              <w:t>17.45</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+17.61%</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4.91%</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hAnsi="FlandersArtSans-Regular" w:cs="Calibri"/>
                <w:bCs/>
                <w:color w:val="000000" w:themeColor="text1"/>
                <w:sz w:val="16"/>
                <w:szCs w:val="16"/>
              </w:rPr>
            </w:pPr>
            <w:r>
              <w:rPr>
                <w:rFonts w:ascii="FlandersArtSans-Regular" w:hAnsi="FlandersArtSans-Regular" w:cs="Calibri"/>
                <w:bCs/>
                <w:color w:val="000000" w:themeColor="text1"/>
                <w:sz w:val="16"/>
                <w:szCs w:val="16"/>
              </w:rPr>
              <w:t>5.50%</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Cambria" w:eastAsia="Times New Roman" w:hAnsi="Cambria" w:cs="Cambria"/>
                <w:color w:val="000000" w:themeColor="text1"/>
                <w:sz w:val="18"/>
                <w:szCs w:val="18"/>
                <w:lang w:val="nl-BE" w:eastAsia="nl-BE"/>
              </w:rPr>
            </w:pPr>
            <w:r>
              <w:rPr>
                <w:rFonts w:ascii="Cambria" w:eastAsia="Times New Roman" w:hAnsi="Cambria" w:cs="Cambria"/>
                <w:color w:val="000000" w:themeColor="text1"/>
                <w:sz w:val="18"/>
                <w:szCs w:val="18"/>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r>
      <w:tr>
        <w:trPr>
          <w:trHeight w:val="285"/>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000000" w:themeColor="text1"/>
                <w:sz w:val="18"/>
                <w:szCs w:val="18"/>
                <w:lang w:val="nl-BE" w:eastAsia="nl-BE"/>
              </w:rPr>
            </w:pPr>
            <w:r>
              <w:rPr>
                <w:rFonts w:ascii="FlandersArtSans-Regular" w:eastAsia="Times New Roman" w:hAnsi="FlandersArtSans-Regular"/>
                <w:b/>
                <w:bCs/>
                <w:color w:val="000000" w:themeColor="text1"/>
                <w:sz w:val="18"/>
                <w:szCs w:val="18"/>
                <w:lang w:val="nl-BE" w:eastAsia="nl-BE"/>
              </w:rPr>
              <w:t>Asia</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35.69</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37.02</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+3.72%</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11.82%</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11.67%</w:t>
            </w:r>
          </w:p>
        </w:tc>
      </w:tr>
      <w:tr>
        <w:trPr>
          <w:trHeight w:hRule="exact" w:val="617"/>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eastAsia="nl-BE"/>
              </w:rPr>
            </w:pPr>
            <w:r>
              <w:rPr>
                <w:rFonts w:ascii="FlandersArtSans-Regular" w:eastAsia="Times New Roman" w:hAnsi="FlandersArtSans-Regular"/>
                <w:color w:val="000000" w:themeColor="text1"/>
                <w:sz w:val="16"/>
                <w:szCs w:val="16"/>
                <w:lang w:eastAsia="nl-BE"/>
              </w:rPr>
              <w:t>Asia (Central, Eastern, South-Eastern, Southern</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26.50</w:t>
            </w:r>
          </w:p>
        </w:tc>
        <w:tc>
          <w:tcPr>
            <w:tcW w:w="1446" w:type="dxa"/>
            <w:tcBorders>
              <w:top w:val="nil"/>
              <w:left w:val="nil"/>
              <w:bottom w:val="single" w:sz="4" w:space="0" w:color="auto"/>
              <w:right w:val="single" w:sz="4" w:space="0" w:color="auto"/>
            </w:tcBorders>
            <w:shd w:val="clear" w:color="auto" w:fill="auto"/>
            <w:noWrap/>
            <w:vAlign w:val="center"/>
            <w:hideMark/>
          </w:tcPr>
          <w:p>
            <w:pPr>
              <w:spacing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27.41</w:t>
            </w:r>
          </w:p>
        </w:tc>
        <w:tc>
          <w:tcPr>
            <w:tcW w:w="1447" w:type="dxa"/>
            <w:tcBorders>
              <w:top w:val="nil"/>
              <w:left w:val="nil"/>
              <w:bottom w:val="single" w:sz="4" w:space="0" w:color="auto"/>
              <w:right w:val="single" w:sz="4" w:space="0" w:color="auto"/>
            </w:tcBorders>
            <w:shd w:val="clear" w:color="auto" w:fill="auto"/>
            <w:noWrap/>
            <w:hideMark/>
          </w:tcPr>
          <w:p>
            <w:pPr>
              <w:spacing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+3.43%</w:t>
            </w:r>
          </w:p>
          <w:p>
            <w:pPr>
              <w:spacing w:after="0" w:line="240" w:lineRule="auto"/>
              <w:jc w:val="center"/>
              <w:rPr>
                <w:rFonts w:ascii="FlandersArtSans-Regular" w:eastAsia="Times New Roman" w:hAnsi="FlandersArtSans-Regular"/>
                <w:color w:val="000000" w:themeColor="text1"/>
                <w:sz w:val="16"/>
                <w:szCs w:val="16"/>
                <w:lang w:val="nl-BE" w:eastAsia="nl-BE"/>
              </w:rPr>
            </w:pPr>
          </w:p>
        </w:tc>
        <w:tc>
          <w:tcPr>
            <w:tcW w:w="1434" w:type="dxa"/>
            <w:tcBorders>
              <w:top w:val="nil"/>
              <w:left w:val="nil"/>
              <w:bottom w:val="single" w:sz="4" w:space="0" w:color="auto"/>
              <w:right w:val="single" w:sz="4" w:space="0" w:color="auto"/>
            </w:tcBorders>
            <w:shd w:val="clear" w:color="auto" w:fill="auto"/>
            <w:noWrap/>
            <w:hideMark/>
          </w:tcPr>
          <w:p>
            <w:pPr>
              <w:spacing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8.78%</w:t>
            </w:r>
          </w:p>
        </w:tc>
        <w:tc>
          <w:tcPr>
            <w:tcW w:w="1836" w:type="dxa"/>
            <w:tcBorders>
              <w:top w:val="nil"/>
              <w:left w:val="nil"/>
              <w:bottom w:val="single" w:sz="4" w:space="0" w:color="auto"/>
              <w:right w:val="single" w:sz="4" w:space="0" w:color="auto"/>
            </w:tcBorders>
            <w:shd w:val="clear" w:color="auto" w:fill="auto"/>
            <w:noWrap/>
            <w:hideMark/>
          </w:tcPr>
          <w:p>
            <w:pPr>
              <w:spacing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8.65%</w:t>
            </w:r>
          </w:p>
        </w:tc>
      </w:tr>
      <w:tr>
        <w:trPr>
          <w:trHeight w:hRule="exact" w:val="39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Middle East</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9.18</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9.60</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+4.57%</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3.04%</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3.03%</w:t>
            </w:r>
          </w:p>
        </w:tc>
      </w:tr>
      <w:tr>
        <w:trPr>
          <w:trHeight w:hRule="exact" w:val="111"/>
          <w:jc w:val="center"/>
        </w:trPr>
        <w:tc>
          <w:tcPr>
            <w:tcW w:w="1731" w:type="dxa"/>
            <w:tcBorders>
              <w:top w:val="single" w:sz="4" w:space="0" w:color="auto"/>
              <w:left w:val="single" w:sz="4" w:space="0" w:color="auto"/>
              <w:bottom w:val="single" w:sz="4" w:space="0" w:color="auto"/>
              <w:right w:val="nil"/>
            </w:tcBorders>
            <w:shd w:val="clear" w:color="auto" w:fill="auto"/>
            <w:noWrap/>
            <w:vAlign w:val="center"/>
            <w:hideMark/>
          </w:tcPr>
          <w:p>
            <w:pPr>
              <w:spacing w:after="0" w:line="240" w:lineRule="auto"/>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8"/>
                <w:szCs w:val="18"/>
                <w:lang w:val="nl-BE" w:eastAsia="nl-BE"/>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8"/>
                <w:szCs w:val="18"/>
                <w:lang w:val="nl-BE" w:eastAsia="nl-BE"/>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r>
      <w:tr>
        <w:trPr>
          <w:trHeight w:val="198"/>
          <w:jc w:val="center"/>
        </w:trPr>
        <w:tc>
          <w:tcPr>
            <w:tcW w:w="1731" w:type="dxa"/>
            <w:tcBorders>
              <w:top w:val="single" w:sz="4" w:space="0" w:color="auto"/>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000000" w:themeColor="text1"/>
                <w:sz w:val="18"/>
                <w:szCs w:val="18"/>
                <w:lang w:val="nl-BE" w:eastAsia="nl-BE"/>
              </w:rPr>
            </w:pPr>
            <w:r>
              <w:rPr>
                <w:rFonts w:ascii="FlandersArtSans-Regular" w:eastAsia="Times New Roman" w:hAnsi="FlandersArtSans-Regular"/>
                <w:b/>
                <w:bCs/>
                <w:color w:val="000000" w:themeColor="text1"/>
                <w:sz w:val="18"/>
                <w:szCs w:val="18"/>
                <w:lang w:val="nl-BE" w:eastAsia="nl-BE"/>
              </w:rPr>
              <w:t>America</w:t>
            </w:r>
          </w:p>
        </w:tc>
        <w:tc>
          <w:tcPr>
            <w:tcW w:w="1592" w:type="dxa"/>
            <w:tcBorders>
              <w:top w:val="single" w:sz="4" w:space="0" w:color="auto"/>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24.89</w:t>
            </w:r>
          </w:p>
        </w:tc>
        <w:tc>
          <w:tcPr>
            <w:tcW w:w="1446" w:type="dxa"/>
            <w:tcBorders>
              <w:top w:val="single" w:sz="4" w:space="0" w:color="auto"/>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23.75</w:t>
            </w:r>
          </w:p>
        </w:tc>
        <w:tc>
          <w:tcPr>
            <w:tcW w:w="1447" w:type="dxa"/>
            <w:tcBorders>
              <w:top w:val="single" w:sz="4" w:space="0" w:color="auto"/>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-4.56%</w:t>
            </w:r>
          </w:p>
        </w:tc>
        <w:tc>
          <w:tcPr>
            <w:tcW w:w="1434" w:type="dxa"/>
            <w:tcBorders>
              <w:top w:val="single" w:sz="4" w:space="0" w:color="auto"/>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8.24%</w:t>
            </w:r>
          </w:p>
        </w:tc>
        <w:tc>
          <w:tcPr>
            <w:tcW w:w="1836" w:type="dxa"/>
            <w:tcBorders>
              <w:top w:val="single" w:sz="4" w:space="0" w:color="auto"/>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7.49%</w:t>
            </w:r>
          </w:p>
        </w:tc>
      </w:tr>
      <w:tr>
        <w:trPr>
          <w:trHeight w:val="19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Northern America</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19.52</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17.47</w:t>
            </w:r>
          </w:p>
        </w:tc>
        <w:tc>
          <w:tcPr>
            <w:tcW w:w="1447"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-10.47%</w:t>
            </w:r>
          </w:p>
        </w:tc>
        <w:tc>
          <w:tcPr>
            <w:tcW w:w="1434"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6.46%</w:t>
            </w:r>
          </w:p>
        </w:tc>
        <w:tc>
          <w:tcPr>
            <w:tcW w:w="1836"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5.51%</w:t>
            </w:r>
          </w:p>
        </w:tc>
      </w:tr>
      <w:tr>
        <w:trPr>
          <w:trHeight w:val="19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Central America</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1.61</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1.55</w:t>
            </w:r>
          </w:p>
        </w:tc>
        <w:tc>
          <w:tcPr>
            <w:tcW w:w="1447"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-3.28%</w:t>
            </w:r>
          </w:p>
        </w:tc>
        <w:tc>
          <w:tcPr>
            <w:tcW w:w="1434"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0.53%</w:t>
            </w:r>
          </w:p>
        </w:tc>
        <w:tc>
          <w:tcPr>
            <w:tcW w:w="1836"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0.49%</w:t>
            </w:r>
          </w:p>
        </w:tc>
      </w:tr>
      <w:tr>
        <w:trPr>
          <w:trHeight w:val="19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South America</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3.76</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4.73</w:t>
            </w:r>
          </w:p>
        </w:tc>
        <w:tc>
          <w:tcPr>
            <w:tcW w:w="1447"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+25.58%</w:t>
            </w:r>
          </w:p>
        </w:tc>
        <w:tc>
          <w:tcPr>
            <w:tcW w:w="1434"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1.25%</w:t>
            </w:r>
          </w:p>
        </w:tc>
        <w:tc>
          <w:tcPr>
            <w:tcW w:w="1836"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1.49%</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r>
      <w:tr>
        <w:trPr>
          <w:trHeight w:val="198"/>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FF0000"/>
                <w:sz w:val="18"/>
                <w:szCs w:val="18"/>
                <w:lang w:val="nl-BE" w:eastAsia="nl-BE"/>
              </w:rPr>
            </w:pPr>
            <w:r>
              <w:rPr>
                <w:rFonts w:ascii="FlandersArtSans-Regular" w:eastAsia="Times New Roman" w:hAnsi="FlandersArtSans-Regular"/>
                <w:b/>
                <w:bCs/>
                <w:color w:val="000000" w:themeColor="text1"/>
                <w:sz w:val="18"/>
                <w:szCs w:val="18"/>
                <w:lang w:val="nl-BE" w:eastAsia="nl-BE"/>
              </w:rPr>
              <w:t>Africa</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10.59</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11.97</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lang w:val="nl-BE" w:eastAsia="nl-BE"/>
              </w:rPr>
            </w:pPr>
            <w:r>
              <w:rPr>
                <w:rFonts w:ascii="FlandersArtSans-Regular" w:hAnsi="FlandersArtSans-Regular" w:cs="Calibri"/>
                <w:b/>
                <w:bCs/>
                <w:color w:val="000000" w:themeColor="text1"/>
                <w:sz w:val="18"/>
                <w:szCs w:val="18"/>
              </w:rPr>
              <w:t>+12.99%</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3.51%</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3.77%</w:t>
            </w:r>
          </w:p>
        </w:tc>
      </w:tr>
      <w:tr>
        <w:trPr>
          <w:trHeight w:val="198"/>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Northern Africa</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3.17</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3.39</w:t>
            </w:r>
          </w:p>
        </w:tc>
        <w:tc>
          <w:tcPr>
            <w:tcW w:w="1447"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+6.82%</w:t>
            </w:r>
          </w:p>
        </w:tc>
        <w:tc>
          <w:tcPr>
            <w:tcW w:w="1434"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1.05%</w:t>
            </w:r>
          </w:p>
        </w:tc>
        <w:tc>
          <w:tcPr>
            <w:tcW w:w="1836"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1.07%</w:t>
            </w:r>
          </w:p>
        </w:tc>
      </w:tr>
      <w:tr>
        <w:trPr>
          <w:trHeight w:val="210"/>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Sub-Saharan Africa</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7.42</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8.58</w:t>
            </w:r>
          </w:p>
        </w:tc>
        <w:tc>
          <w:tcPr>
            <w:tcW w:w="1447"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+15.62%</w:t>
            </w:r>
          </w:p>
        </w:tc>
        <w:tc>
          <w:tcPr>
            <w:tcW w:w="1434"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2.46%</w:t>
            </w:r>
          </w:p>
        </w:tc>
        <w:tc>
          <w:tcPr>
            <w:tcW w:w="1836"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2.71%</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mbria" w:eastAsia="Times New Roman" w:hAnsi="Cambria" w:cs="Cambria"/>
                <w:color w:val="FF0000"/>
                <w:sz w:val="18"/>
                <w:szCs w:val="18"/>
                <w:lang w:val="nl-BE" w:eastAsia="nl-BE"/>
              </w:rPr>
            </w:pPr>
            <w:r>
              <w:rPr>
                <w:rFonts w:ascii="Cambria" w:eastAsia="Times New Roman" w:hAnsi="Cambria" w:cs="Cambria"/>
                <w:color w:val="FF0000"/>
                <w:sz w:val="18"/>
                <w:szCs w:val="18"/>
                <w:lang w:val="nl-BE" w:eastAsia="nl-BE"/>
              </w:rPr>
              <w:t xml:space="preserve"> </w:t>
            </w:r>
          </w:p>
        </w:tc>
      </w:tr>
      <w:tr>
        <w:trPr>
          <w:trHeight w:val="198"/>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FF0000"/>
                <w:sz w:val="18"/>
                <w:szCs w:val="18"/>
                <w:lang w:val="nl-BE" w:eastAsia="nl-BE"/>
              </w:rPr>
            </w:pPr>
            <w:r>
              <w:rPr>
                <w:rFonts w:ascii="FlandersArtSans-Regular" w:eastAsia="Times New Roman" w:hAnsi="FlandersArtSans-Regular"/>
                <w:b/>
                <w:bCs/>
                <w:color w:val="000000" w:themeColor="text1"/>
                <w:sz w:val="18"/>
                <w:szCs w:val="18"/>
                <w:lang w:val="nl-BE" w:eastAsia="nl-BE"/>
              </w:rPr>
              <w:t>Oceania</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1.78</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1.85</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+4.24%</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0.59%</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0.58%</w:t>
            </w:r>
          </w:p>
        </w:tc>
      </w:tr>
      <w:tr>
        <w:trPr>
          <w:trHeight w:val="287"/>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Australia and New-Zealand</w:t>
            </w:r>
          </w:p>
        </w:tc>
        <w:tc>
          <w:tcPr>
            <w:tcW w:w="159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1.73</w:t>
            </w:r>
          </w:p>
        </w:tc>
        <w:tc>
          <w:tcPr>
            <w:tcW w:w="144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1.81</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+4.47%</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0.57%</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000000" w:themeColor="text1"/>
                <w:sz w:val="16"/>
                <w:szCs w:val="16"/>
                <w:lang w:val="nl-BE" w:eastAsia="nl-BE"/>
              </w:rPr>
            </w:pPr>
            <w:r>
              <w:rPr>
                <w:rFonts w:ascii="FlandersArtSans-Regular" w:eastAsia="Times New Roman" w:hAnsi="FlandersArtSans-Regular"/>
                <w:color w:val="000000" w:themeColor="text1"/>
                <w:sz w:val="16"/>
                <w:szCs w:val="16"/>
                <w:lang w:val="nl-BE" w:eastAsia="nl-BE"/>
              </w:rPr>
              <w:t>0.57%</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color w:val="FF0000"/>
                <w:sz w:val="16"/>
                <w:szCs w:val="16"/>
                <w:lang w:val="nl-BE" w:eastAsia="nl-BE"/>
              </w:rPr>
            </w:pPr>
            <w:r>
              <w:rPr>
                <w:rFonts w:ascii="Cambria" w:eastAsia="Times New Roman" w:hAnsi="Cambria" w:cs="Cambria"/>
                <w:color w:val="FF0000"/>
                <w:sz w:val="16"/>
                <w:szCs w:val="16"/>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6"/>
                <w:szCs w:val="16"/>
                <w:lang w:val="nl-BE" w:eastAsia="nl-BE"/>
              </w:rPr>
            </w:pPr>
            <w:r>
              <w:rPr>
                <w:rFonts w:ascii="Cambria" w:eastAsia="Times New Roman" w:hAnsi="Cambria" w:cs="Cambria"/>
                <w:color w:val="FF0000"/>
                <w:sz w:val="16"/>
                <w:szCs w:val="16"/>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color w:val="FF0000"/>
                <w:sz w:val="16"/>
                <w:szCs w:val="16"/>
                <w:lang w:val="nl-BE" w:eastAsia="nl-BE"/>
              </w:rPr>
            </w:pPr>
            <w:r>
              <w:rPr>
                <w:rFonts w:ascii="Cambria" w:eastAsia="Times New Roman" w:hAnsi="Cambria" w:cs="Cambria"/>
                <w:color w:val="FF0000"/>
                <w:sz w:val="16"/>
                <w:szCs w:val="16"/>
                <w:lang w:val="nl-BE" w:eastAsia="nl-BE"/>
              </w:rPr>
              <w:t>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color w:val="FF0000"/>
                <w:sz w:val="20"/>
                <w:szCs w:val="20"/>
                <w:lang w:val="nl-BE" w:eastAsia="nl-BE"/>
              </w:rPr>
            </w:pPr>
            <w:r>
              <w:rPr>
                <w:rFonts w:ascii="FlandersArtSans-Regular" w:eastAsia="Times New Roman" w:hAnsi="FlandersArtSans-Regular"/>
                <w:b/>
                <w:bCs/>
                <w:color w:val="FF0000"/>
                <w:sz w:val="20"/>
                <w:szCs w:val="20"/>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i/>
                <w:iCs/>
                <w:color w:val="FF0000"/>
                <w:sz w:val="20"/>
                <w:szCs w:val="20"/>
                <w:lang w:val="nl-BE" w:eastAsia="nl-BE"/>
              </w:rPr>
            </w:pPr>
            <w:r>
              <w:rPr>
                <w:rFonts w:ascii="FlandersArtSans-Regular" w:eastAsia="Times New Roman" w:hAnsi="FlandersArtSans-Regular"/>
                <w:i/>
                <w:iCs/>
                <w:color w:val="FF0000"/>
                <w:sz w:val="20"/>
                <w:szCs w:val="20"/>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i/>
                <w:iCs/>
                <w:color w:val="FF0000"/>
                <w:sz w:val="20"/>
                <w:szCs w:val="20"/>
                <w:lang w:val="nl-BE" w:eastAsia="nl-BE"/>
              </w:rPr>
            </w:pPr>
            <w:r>
              <w:rPr>
                <w:rFonts w:ascii="FlandersArtSans-Regular" w:eastAsia="Times New Roman" w:hAnsi="FlandersArtSans-Regular"/>
                <w:b/>
                <w:bCs/>
                <w:i/>
                <w:iCs/>
                <w:color w:val="FF0000"/>
                <w:sz w:val="20"/>
                <w:szCs w:val="20"/>
                <w:lang w:val="nl-BE" w:eastAsia="nl-BE"/>
              </w:rPr>
              <w:t xml:space="preserve"> </w:t>
            </w:r>
          </w:p>
        </w:tc>
      </w:tr>
      <w:tr>
        <w:trPr>
          <w:trHeight w:val="187"/>
          <w:jc w:val="center"/>
        </w:trPr>
        <w:tc>
          <w:tcPr>
            <w:tcW w:w="1731" w:type="dxa"/>
            <w:tcBorders>
              <w:top w:val="nil"/>
              <w:left w:val="single" w:sz="4" w:space="0" w:color="auto"/>
              <w:bottom w:val="single" w:sz="4" w:space="0" w:color="auto"/>
              <w:right w:val="single" w:sz="4" w:space="0" w:color="auto"/>
            </w:tcBorders>
            <w:shd w:val="clear" w:color="000000" w:fill="CCECFF"/>
            <w:vAlign w:val="center"/>
            <w:hideMark/>
          </w:tcPr>
          <w:p>
            <w:pPr>
              <w:spacing w:after="0" w:line="240" w:lineRule="auto"/>
              <w:rPr>
                <w:rFonts w:ascii="FlandersArtSans-Regular" w:eastAsia="Times New Roman" w:hAnsi="FlandersArtSans-Regular"/>
                <w:b/>
                <w:bCs/>
                <w:color w:val="000000" w:themeColor="text1"/>
                <w:sz w:val="18"/>
                <w:szCs w:val="18"/>
                <w:lang w:val="nl-BE" w:eastAsia="nl-BE"/>
              </w:rPr>
            </w:pPr>
            <w:r>
              <w:rPr>
                <w:rFonts w:ascii="FlandersArtSans-Regular" w:eastAsia="Times New Roman" w:hAnsi="FlandersArtSans-Regular"/>
                <w:b/>
                <w:bCs/>
                <w:color w:val="000000" w:themeColor="text1"/>
                <w:sz w:val="18"/>
                <w:szCs w:val="18"/>
                <w:lang w:val="nl-BE" w:eastAsia="nl-BE"/>
              </w:rPr>
              <w:t>Special &amp; miscellaneaous trade flows</w:t>
            </w:r>
          </w:p>
        </w:tc>
        <w:tc>
          <w:tcPr>
            <w:tcW w:w="1592"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1.98</w:t>
            </w:r>
          </w:p>
        </w:tc>
        <w:tc>
          <w:tcPr>
            <w:tcW w:w="144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2.79</w:t>
            </w:r>
          </w:p>
        </w:tc>
        <w:tc>
          <w:tcPr>
            <w:tcW w:w="1447"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Cs/>
                <w:color w:val="000000" w:themeColor="text1"/>
                <w:sz w:val="18"/>
                <w:szCs w:val="18"/>
              </w:rPr>
            </w:pPr>
            <w:r>
              <w:rPr>
                <w:rFonts w:ascii="FlandersArtSans-Regular" w:hAnsi="FlandersArtSans-Regular" w:cs="Calibri"/>
                <w:b/>
                <w:bCs/>
                <w:color w:val="000000" w:themeColor="text1"/>
                <w:sz w:val="18"/>
                <w:szCs w:val="18"/>
              </w:rPr>
              <w:t>+40.80%</w:t>
            </w:r>
          </w:p>
        </w:tc>
        <w:tc>
          <w:tcPr>
            <w:tcW w:w="1434"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0.66%</w:t>
            </w:r>
          </w:p>
        </w:tc>
        <w:tc>
          <w:tcPr>
            <w:tcW w:w="1836" w:type="dxa"/>
            <w:tcBorders>
              <w:top w:val="nil"/>
              <w:left w:val="nil"/>
              <w:bottom w:val="single" w:sz="4" w:space="0" w:color="auto"/>
              <w:right w:val="single" w:sz="4" w:space="0" w:color="auto"/>
            </w:tcBorders>
            <w:shd w:val="clear" w:color="000000" w:fill="CCECFF"/>
            <w:noWrap/>
            <w:vAlign w:val="center"/>
            <w:hideMark/>
          </w:tcPr>
          <w:p>
            <w:pPr>
              <w:spacing w:after="0" w:line="240" w:lineRule="auto"/>
              <w:jc w:val="center"/>
              <w:rPr>
                <w:rFonts w:ascii="FlandersArtSans-Regular" w:hAnsi="FlandersArtSans-Regular" w:cs="Calibri"/>
                <w:b/>
                <w:bCs/>
                <w:color w:val="000000" w:themeColor="text1"/>
                <w:sz w:val="18"/>
                <w:szCs w:val="18"/>
              </w:rPr>
            </w:pPr>
            <w:r>
              <w:rPr>
                <w:rFonts w:ascii="FlandersArtSans-Regular" w:hAnsi="FlandersArtSans-Regular" w:cs="Calibri"/>
                <w:b/>
                <w:bCs/>
                <w:color w:val="000000" w:themeColor="text1"/>
                <w:sz w:val="18"/>
                <w:szCs w:val="18"/>
              </w:rPr>
              <w:t>0.88%</w:t>
            </w:r>
          </w:p>
        </w:tc>
      </w:tr>
      <w:tr>
        <w:trPr>
          <w:trHeight w:hRule="exact" w:val="111"/>
          <w:jc w:val="center"/>
        </w:trPr>
        <w:tc>
          <w:tcPr>
            <w:tcW w:w="1731"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FlandersArtSans-Regular" w:eastAsia="Times New Roman" w:hAnsi="FlandersArtSans-Regular"/>
                <w:b/>
                <w:bCs/>
                <w:color w:val="FF0000"/>
                <w:sz w:val="20"/>
                <w:szCs w:val="20"/>
                <w:lang w:val="nl-BE" w:eastAsia="nl-BE"/>
              </w:rPr>
            </w:pPr>
            <w:r>
              <w:rPr>
                <w:rFonts w:ascii="Cambria" w:eastAsia="Times New Roman" w:hAnsi="Cambria" w:cs="Cambria"/>
                <w:b/>
                <w:bCs/>
                <w:color w:val="FF0000"/>
                <w:sz w:val="20"/>
                <w:szCs w:val="20"/>
                <w:lang w:val="nl-BE" w:eastAsia="nl-BE"/>
              </w:rPr>
              <w:t> </w:t>
            </w:r>
          </w:p>
        </w:tc>
        <w:tc>
          <w:tcPr>
            <w:tcW w:w="15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color w:val="FF0000"/>
                <w:sz w:val="20"/>
                <w:szCs w:val="20"/>
                <w:lang w:val="nl-BE" w:eastAsia="nl-BE"/>
              </w:rPr>
            </w:pPr>
            <w:r>
              <w:rPr>
                <w:rFonts w:ascii="Cambria" w:eastAsia="Times New Roman" w:hAnsi="Cambria" w:cs="Cambria"/>
                <w:b/>
                <w:bCs/>
                <w:color w:val="FF0000"/>
                <w:sz w:val="20"/>
                <w:szCs w:val="20"/>
                <w:lang w:val="nl-BE" w:eastAsia="nl-BE"/>
              </w:rPr>
              <w:t> </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color w:val="FF0000"/>
                <w:sz w:val="20"/>
                <w:szCs w:val="20"/>
                <w:lang w:val="nl-BE" w:eastAsia="nl-BE"/>
              </w:rPr>
            </w:pPr>
            <w:r>
              <w:rPr>
                <w:rFonts w:ascii="Cambria" w:eastAsia="Times New Roman" w:hAnsi="Cambria" w:cs="Cambria"/>
                <w:b/>
                <w:bCs/>
                <w:color w:val="FF0000"/>
                <w:sz w:val="20"/>
                <w:szCs w:val="20"/>
                <w:lang w:val="nl-BE" w:eastAsia="nl-BE"/>
              </w:rPr>
              <w:t> </w:t>
            </w:r>
          </w:p>
        </w:tc>
        <w:tc>
          <w:tcPr>
            <w:tcW w:w="144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i/>
                <w:iCs/>
                <w:color w:val="FF0000"/>
                <w:sz w:val="20"/>
                <w:szCs w:val="20"/>
                <w:lang w:val="nl-BE" w:eastAsia="nl-BE"/>
              </w:rPr>
            </w:pPr>
            <w:r>
              <w:rPr>
                <w:rFonts w:ascii="FlandersArtSans-Regular" w:eastAsia="Times New Roman" w:hAnsi="FlandersArtSans-Regular"/>
                <w:b/>
                <w:bCs/>
                <w:i/>
                <w:iCs/>
                <w:color w:val="FF0000"/>
                <w:sz w:val="20"/>
                <w:szCs w:val="20"/>
                <w:lang w:val="nl-BE" w:eastAsia="nl-BE"/>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i/>
                <w:iCs/>
                <w:color w:val="FF0000"/>
                <w:sz w:val="20"/>
                <w:szCs w:val="20"/>
                <w:lang w:val="nl-BE" w:eastAsia="nl-BE"/>
              </w:rPr>
            </w:pPr>
            <w:r>
              <w:rPr>
                <w:rFonts w:ascii="FlandersArtSans-Regular" w:eastAsia="Times New Roman" w:hAnsi="FlandersArtSans-Regular"/>
                <w:b/>
                <w:bCs/>
                <w:i/>
                <w:iCs/>
                <w:color w:val="FF0000"/>
                <w:sz w:val="20"/>
                <w:szCs w:val="20"/>
                <w:lang w:val="nl-BE" w:eastAsia="nl-BE"/>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FlandersArtSans-Regular" w:eastAsia="Times New Roman" w:hAnsi="FlandersArtSans-Regular"/>
                <w:b/>
                <w:bCs/>
                <w:i/>
                <w:iCs/>
                <w:color w:val="FF0000"/>
                <w:sz w:val="20"/>
                <w:szCs w:val="20"/>
                <w:lang w:val="nl-BE" w:eastAsia="nl-BE"/>
              </w:rPr>
            </w:pPr>
            <w:r>
              <w:rPr>
                <w:rFonts w:ascii="Cambria" w:eastAsia="Times New Roman" w:hAnsi="Cambria" w:cs="Cambria"/>
                <w:b/>
                <w:bCs/>
                <w:i/>
                <w:iCs/>
                <w:color w:val="FF0000"/>
                <w:sz w:val="20"/>
                <w:szCs w:val="20"/>
                <w:lang w:val="nl-BE" w:eastAsia="nl-BE"/>
              </w:rPr>
              <w:t> </w:t>
            </w:r>
          </w:p>
        </w:tc>
      </w:tr>
      <w:tr>
        <w:trPr>
          <w:trHeight w:val="369"/>
          <w:jc w:val="center"/>
        </w:trPr>
        <w:tc>
          <w:tcPr>
            <w:tcW w:w="173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pPr>
              <w:spacing w:after="0" w:line="240" w:lineRule="auto"/>
              <w:jc w:val="center"/>
              <w:rPr>
                <w:rFonts w:ascii="FlandersArtSans-Regular" w:eastAsia="Times New Roman" w:hAnsi="FlandersArtSans-Regular"/>
                <w:b/>
                <w:bCs/>
                <w:color w:val="FF0000"/>
                <w:sz w:val="20"/>
                <w:szCs w:val="20"/>
                <w:lang w:val="nl-BE" w:eastAsia="nl-BE"/>
              </w:rPr>
            </w:pPr>
            <w:r>
              <w:rPr>
                <w:rFonts w:ascii="FlandersArtSans-Regular" w:eastAsia="Times New Roman" w:hAnsi="FlandersArtSans-Regular"/>
                <w:b/>
                <w:bCs/>
                <w:color w:val="000000" w:themeColor="text1"/>
                <w:sz w:val="20"/>
                <w:szCs w:val="20"/>
                <w:lang w:val="nl-BE" w:eastAsia="nl-BE"/>
              </w:rPr>
              <w:t>WORLD</w:t>
            </w:r>
          </w:p>
        </w:tc>
        <w:tc>
          <w:tcPr>
            <w:tcW w:w="1592" w:type="dxa"/>
            <w:tcBorders>
              <w:top w:val="nil"/>
              <w:left w:val="nil"/>
              <w:bottom w:val="single" w:sz="4" w:space="0" w:color="auto"/>
              <w:right w:val="single" w:sz="4" w:space="0" w:color="auto"/>
            </w:tcBorders>
            <w:shd w:val="clear" w:color="auto" w:fill="DBE5F1" w:themeFill="accent1" w:themeFillTint="33"/>
            <w:noWrap/>
            <w:vAlign w:val="center"/>
            <w:hideMark/>
          </w:tcPr>
          <w:p>
            <w:pPr>
              <w:spacing w:after="0" w:line="240" w:lineRule="auto"/>
              <w:jc w:val="center"/>
              <w:rPr>
                <w:rFonts w:ascii="FlandersArtSans-Regular" w:hAnsi="FlandersArtSans-Regular" w:cs="Calibri"/>
                <w:b/>
                <w:color w:val="000000" w:themeColor="text1"/>
              </w:rPr>
            </w:pPr>
            <w:r>
              <w:rPr>
                <w:rFonts w:ascii="FlandersArtSans-Regular" w:hAnsi="FlandersArtSans-Regular" w:cs="Calibri"/>
                <w:b/>
                <w:color w:val="000000" w:themeColor="text1"/>
              </w:rPr>
              <w:t>302</w:t>
            </w:r>
          </w:p>
        </w:tc>
        <w:tc>
          <w:tcPr>
            <w:tcW w:w="1446" w:type="dxa"/>
            <w:tcBorders>
              <w:top w:val="nil"/>
              <w:left w:val="nil"/>
              <w:bottom w:val="single" w:sz="4" w:space="0" w:color="auto"/>
              <w:right w:val="single" w:sz="4" w:space="0" w:color="auto"/>
            </w:tcBorders>
            <w:shd w:val="clear" w:color="auto" w:fill="DBE5F1" w:themeFill="accent1" w:themeFillTint="33"/>
            <w:noWrap/>
            <w:vAlign w:val="center"/>
            <w:hideMark/>
          </w:tcPr>
          <w:p>
            <w:pPr>
              <w:spacing w:after="0" w:line="240" w:lineRule="auto"/>
              <w:jc w:val="center"/>
              <w:rPr>
                <w:rFonts w:ascii="FlandersArtSans-Regular" w:hAnsi="FlandersArtSans-Regular" w:cs="Calibri"/>
                <w:b/>
                <w:color w:val="000000" w:themeColor="text1"/>
              </w:rPr>
            </w:pPr>
            <w:r>
              <w:rPr>
                <w:rFonts w:ascii="FlandersArtSans-Regular" w:hAnsi="FlandersArtSans-Regular" w:cs="Calibri"/>
                <w:b/>
                <w:color w:val="000000" w:themeColor="text1"/>
              </w:rPr>
              <w:t>317</w:t>
            </w:r>
          </w:p>
        </w:tc>
        <w:tc>
          <w:tcPr>
            <w:tcW w:w="1447" w:type="dxa"/>
            <w:tcBorders>
              <w:top w:val="nil"/>
              <w:left w:val="nil"/>
              <w:bottom w:val="single" w:sz="4" w:space="0" w:color="auto"/>
              <w:right w:val="single" w:sz="4" w:space="0" w:color="auto"/>
            </w:tcBorders>
            <w:shd w:val="clear" w:color="auto" w:fill="DBE5F1" w:themeFill="accent1" w:themeFillTint="33"/>
            <w:noWrap/>
            <w:vAlign w:val="center"/>
            <w:hideMark/>
          </w:tcPr>
          <w:p>
            <w:pPr>
              <w:spacing w:after="0" w:line="240" w:lineRule="auto"/>
              <w:jc w:val="center"/>
              <w:rPr>
                <w:rFonts w:ascii="FlandersArtSans-Regular" w:hAnsi="FlandersArtSans-Regular" w:cs="Calibri"/>
                <w:b/>
                <w:bCs/>
                <w:lang w:val="nl-BE" w:eastAsia="nl-BE"/>
              </w:rPr>
            </w:pPr>
            <w:r>
              <w:rPr>
                <w:rFonts w:ascii="FlandersArtSans-Regular" w:hAnsi="FlandersArtSans-Regular" w:cs="Calibri"/>
                <w:b/>
                <w:bCs/>
              </w:rPr>
              <w:t>+4.99%</w:t>
            </w:r>
          </w:p>
        </w:tc>
        <w:tc>
          <w:tcPr>
            <w:tcW w:w="1434" w:type="dxa"/>
            <w:tcBorders>
              <w:top w:val="nil"/>
              <w:left w:val="nil"/>
              <w:bottom w:val="single" w:sz="4" w:space="0" w:color="auto"/>
              <w:right w:val="single" w:sz="4" w:space="0" w:color="auto"/>
            </w:tcBorders>
            <w:shd w:val="clear" w:color="auto" w:fill="DBE5F1" w:themeFill="accent1" w:themeFillTint="33"/>
            <w:noWrap/>
            <w:vAlign w:val="center"/>
            <w:hideMark/>
          </w:tcPr>
          <w:p>
            <w:pPr>
              <w:spacing w:after="0" w:line="240" w:lineRule="auto"/>
              <w:jc w:val="center"/>
              <w:rPr>
                <w:rFonts w:ascii="FlandersArtSans-Regular" w:hAnsi="FlandersArtSans-Regular" w:cs="Calibri"/>
                <w:b/>
                <w:color w:val="000000" w:themeColor="text1"/>
              </w:rPr>
            </w:pPr>
            <w:r>
              <w:rPr>
                <w:rFonts w:ascii="FlandersArtSans-Regular" w:hAnsi="FlandersArtSans-Regular" w:cs="Calibri"/>
                <w:b/>
                <w:color w:val="000000" w:themeColor="text1"/>
              </w:rPr>
              <w:t>100%</w:t>
            </w:r>
          </w:p>
        </w:tc>
        <w:tc>
          <w:tcPr>
            <w:tcW w:w="1836" w:type="dxa"/>
            <w:tcBorders>
              <w:top w:val="nil"/>
              <w:left w:val="nil"/>
              <w:bottom w:val="single" w:sz="4" w:space="0" w:color="auto"/>
              <w:right w:val="single" w:sz="4" w:space="0" w:color="auto"/>
            </w:tcBorders>
            <w:shd w:val="clear" w:color="auto" w:fill="DBE5F1" w:themeFill="accent1" w:themeFillTint="33"/>
            <w:noWrap/>
            <w:vAlign w:val="center"/>
            <w:hideMark/>
          </w:tcPr>
          <w:p>
            <w:pPr>
              <w:spacing w:after="0" w:line="240" w:lineRule="auto"/>
              <w:jc w:val="center"/>
              <w:rPr>
                <w:rFonts w:ascii="FlandersArtSans-Regular" w:hAnsi="FlandersArtSans-Regular" w:cs="Calibri"/>
                <w:b/>
                <w:color w:val="000000" w:themeColor="text1"/>
              </w:rPr>
            </w:pPr>
            <w:r>
              <w:rPr>
                <w:rFonts w:ascii="FlandersArtSans-Regular" w:hAnsi="FlandersArtSans-Regular" w:cs="Calibri"/>
                <w:b/>
                <w:color w:val="000000" w:themeColor="text1"/>
              </w:rPr>
              <w:t>100%</w:t>
            </w:r>
          </w:p>
        </w:tc>
      </w:tr>
      <w:bookmarkEnd w:id="1"/>
    </w:tbl>
    <w:p>
      <w:pPr>
        <w:pStyle w:val="ListParagraph"/>
        <w:ind w:left="709"/>
        <w:rPr>
          <w:rFonts w:ascii="Arial" w:hAnsi="Arial" w:cs="Arial"/>
          <w:sz w:val="20"/>
          <w:szCs w:val="20"/>
          <w:lang w:val="nl-BE"/>
        </w:rPr>
      </w:pPr>
    </w:p>
    <w:p>
      <w:pPr>
        <w:pStyle w:val="ListParagraph"/>
        <w:numPr>
          <w:ilvl w:val="0"/>
          <w:numId w:val="3"/>
        </w:numPr>
        <w:spacing w:after="240" w:line="240" w:lineRule="auto"/>
        <w:ind w:left="714" w:hanging="357"/>
        <w:rPr>
          <w:rFonts w:ascii="FlandersArtSans-Regular" w:hAnsi="FlandersArtSans-Regular" w:cs="Arial"/>
          <w:sz w:val="20"/>
          <w:szCs w:val="20"/>
        </w:rPr>
      </w:pPr>
      <w:r>
        <w:rPr>
          <w:rFonts w:ascii="FlandersArtSans-Regular" w:hAnsi="FlandersArtSans-Regular" w:cs="Arial"/>
          <w:sz w:val="20"/>
          <w:szCs w:val="20"/>
        </w:rPr>
        <w:t>2017 brought no major shifts in the order of the top 10 export commodities, ranked by value.</w:t>
      </w:r>
      <w:r>
        <w:rPr>
          <w:rFonts w:ascii="FlandersArtSans-Regular" w:hAnsi="FlandersArtSans-Regular" w:cs="Arial"/>
          <w:sz w:val="20"/>
          <w:szCs w:val="20"/>
        </w:rPr>
        <w:br/>
      </w:r>
    </w:p>
    <w:p>
      <w:pPr>
        <w:pStyle w:val="ListParagraph"/>
        <w:numPr>
          <w:ilvl w:val="4"/>
          <w:numId w:val="3"/>
        </w:numPr>
        <w:spacing w:before="240"/>
        <w:ind w:left="1418" w:right="261"/>
        <w:rPr>
          <w:rFonts w:ascii="FlandersArtSans-Regular" w:hAnsi="FlandersArtSans-Regular"/>
          <w:sz w:val="20"/>
          <w:szCs w:val="20"/>
        </w:rPr>
      </w:pPr>
      <w:r>
        <w:rPr>
          <w:rFonts w:ascii="FlandersArtSans-Regular" w:hAnsi="FlandersArtSans-Regular" w:cs="Arial"/>
          <w:sz w:val="20"/>
          <w:szCs w:val="20"/>
        </w:rPr>
        <w:t xml:space="preserve">In 2017, combined annual exports of </w:t>
      </w:r>
      <w:r>
        <w:rPr>
          <w:rFonts w:ascii="FlandersArtSans-Regular" w:hAnsi="FlandersArtSans-Regular" w:cs="Arial"/>
          <w:b/>
          <w:i/>
          <w:sz w:val="20"/>
          <w:szCs w:val="20"/>
        </w:rPr>
        <w:t>chemicals and pharmaceuticals</w:t>
      </w:r>
      <w:r>
        <w:rPr>
          <w:rFonts w:ascii="FlandersArtSans-Regular" w:hAnsi="FlandersArtSans-Regular" w:cs="Arial"/>
          <w:sz w:val="20"/>
          <w:szCs w:val="20"/>
        </w:rPr>
        <w:t xml:space="preserve"> experienced the largest decrease of all traded lines compared with 2016 — down a sizeable EUR 2.9 billion (-4.08%).</w:t>
      </w:r>
      <w:r>
        <w:rPr>
          <w:rFonts w:ascii="FlandersArtSans-Regular" w:hAnsi="FlandersArtSans-Regular" w:cs="Arial"/>
          <w:sz w:val="20"/>
          <w:szCs w:val="20"/>
        </w:rPr>
        <w:br/>
        <w:t xml:space="preserve">With exports totalling EUR 68.6 billion, the twin sectors ranked first as an export commodity group </w:t>
      </w:r>
      <w:r>
        <w:rPr>
          <w:rFonts w:ascii="FlandersArtSans-Regular" w:hAnsi="FlandersArtSans-Regular" w:cs="Arial"/>
          <w:color w:val="000000" w:themeColor="text1"/>
          <w:sz w:val="20"/>
          <w:szCs w:val="20"/>
        </w:rPr>
        <w:t>in 2017, holding a 21.6% proportion of total Flemish exports.</w:t>
      </w:r>
    </w:p>
    <w:p>
      <w:pPr>
        <w:pStyle w:val="ListParagraph"/>
        <w:numPr>
          <w:ilvl w:val="4"/>
          <w:numId w:val="3"/>
        </w:numPr>
        <w:spacing w:before="240"/>
        <w:ind w:left="1418" w:right="261"/>
        <w:rPr>
          <w:rFonts w:ascii="FlandersArtSans-Regular" w:hAnsi="FlandersArtSans-Regular"/>
          <w:sz w:val="20"/>
          <w:szCs w:val="20"/>
        </w:rPr>
      </w:pPr>
      <w:r>
        <w:rPr>
          <w:rFonts w:ascii="FlandersArtSans-Regular" w:eastAsia="Times New Roman" w:hAnsi="FlandersArtSans-Regular" w:cs="Times New Roman"/>
          <w:color w:val="000000" w:themeColor="text1"/>
          <w:sz w:val="20"/>
          <w:szCs w:val="20"/>
          <w:lang w:eastAsia="nl-BE"/>
        </w:rPr>
        <w:t xml:space="preserve">With EUR 41.4 billion worth of annual exports, the motor </w:t>
      </w:r>
      <w:r>
        <w:rPr>
          <w:rFonts w:ascii="FlandersArtSans-Regular" w:hAnsi="FlandersArtSans-Regular" w:cs="Arial"/>
          <w:b/>
          <w:i/>
          <w:sz w:val="20"/>
          <w:szCs w:val="20"/>
        </w:rPr>
        <w:t>vehicles</w:t>
      </w:r>
      <w:r>
        <w:rPr>
          <w:rFonts w:ascii="FlandersArtSans-Regular" w:eastAsia="Times New Roman" w:hAnsi="FlandersArtSans-Regular" w:cs="Times New Roman"/>
          <w:color w:val="000000" w:themeColor="text1"/>
          <w:sz w:val="20"/>
          <w:szCs w:val="20"/>
          <w:lang w:eastAsia="nl-BE"/>
        </w:rPr>
        <w:t xml:space="preserve"> </w:t>
      </w:r>
      <w:r>
        <w:rPr>
          <w:rFonts w:ascii="FlandersArtSans-Regular" w:hAnsi="FlandersArtSans-Regular" w:cs="Arial"/>
          <w:b/>
          <w:i/>
          <w:sz w:val="20"/>
          <w:szCs w:val="20"/>
        </w:rPr>
        <w:t>/ transport</w:t>
      </w:r>
      <w:r>
        <w:rPr>
          <w:rFonts w:ascii="FlandersArtSans-Regular" w:eastAsia="Times New Roman" w:hAnsi="FlandersArtSans-Regular" w:cs="Times New Roman"/>
          <w:color w:val="000000" w:themeColor="text1"/>
          <w:sz w:val="20"/>
          <w:szCs w:val="20"/>
          <w:lang w:eastAsia="nl-BE"/>
        </w:rPr>
        <w:t xml:space="preserve"> </w:t>
      </w:r>
      <w:r>
        <w:rPr>
          <w:rFonts w:ascii="FlandersArtSans-Regular" w:hAnsi="FlandersArtSans-Regular" w:cs="Arial"/>
          <w:b/>
          <w:i/>
          <w:sz w:val="20"/>
          <w:szCs w:val="20"/>
        </w:rPr>
        <w:t>materials</w:t>
      </w:r>
      <w:r>
        <w:rPr>
          <w:rFonts w:ascii="FlandersArtSans-Regular" w:eastAsia="Times New Roman" w:hAnsi="FlandersArtSans-Regular" w:cs="Times New Roman"/>
          <w:color w:val="000000" w:themeColor="text1"/>
          <w:sz w:val="20"/>
          <w:szCs w:val="20"/>
          <w:lang w:eastAsia="nl-BE"/>
        </w:rPr>
        <w:t xml:space="preserve">  branch took second place accounting for a 13.1% share of total Flemish exports, following a sound 7.4% rise in 2017.</w:t>
      </w:r>
    </w:p>
    <w:p>
      <w:pPr>
        <w:pStyle w:val="ListParagraph"/>
        <w:numPr>
          <w:ilvl w:val="4"/>
          <w:numId w:val="3"/>
        </w:numPr>
        <w:spacing w:before="240"/>
        <w:ind w:left="1418"/>
        <w:rPr>
          <w:rFonts w:ascii="FlandersArtSans-Regular" w:hAnsi="FlandersArtSans-Regular"/>
          <w:sz w:val="20"/>
          <w:szCs w:val="20"/>
        </w:rPr>
      </w:pPr>
      <w:r>
        <w:rPr>
          <w:rFonts w:ascii="FlandersArtSans-Regular" w:eastAsia="Times New Roman" w:hAnsi="FlandersArtSans-Regular" w:cs="Times New Roman"/>
          <w:color w:val="000000" w:themeColor="text1"/>
          <w:sz w:val="20"/>
          <w:szCs w:val="20"/>
          <w:lang w:eastAsia="nl-BE"/>
        </w:rPr>
        <w:t>Fired up throughout 2017 by increased export volumes and petroleum price hikes alike,</w:t>
      </w:r>
      <w:r>
        <w:rPr>
          <w:rFonts w:ascii="FlandersArtSans-Regular" w:eastAsia="Times New Roman" w:hAnsi="FlandersArtSans-Regular" w:cs="Times New Roman"/>
          <w:b/>
          <w:i/>
          <w:sz w:val="20"/>
          <w:szCs w:val="20"/>
          <w:lang w:eastAsia="nl-BE"/>
        </w:rPr>
        <w:t xml:space="preserve"> mineral products</w:t>
      </w:r>
      <w:r>
        <w:rPr>
          <w:rFonts w:ascii="FlandersArtSans-Regular" w:eastAsia="Times New Roman" w:hAnsi="FlandersArtSans-Regular" w:cs="Times New Roman"/>
          <w:sz w:val="20"/>
          <w:szCs w:val="20"/>
          <w:lang w:eastAsia="nl-BE"/>
        </w:rPr>
        <w:t xml:space="preserve"> posted the highest export growth figures of the year, with annual sales skyrocketing by EUR 6.3 billion, up 27.6% year-on-year.</w:t>
      </w:r>
      <w:r>
        <w:rPr>
          <w:rFonts w:ascii="FlandersArtSans-Regular" w:eastAsia="Times New Roman" w:hAnsi="FlandersArtSans-Regular" w:cs="Times New Roman"/>
          <w:color w:val="FF0000"/>
          <w:sz w:val="20"/>
          <w:szCs w:val="20"/>
          <w:lang w:eastAsia="nl-BE"/>
        </w:rPr>
        <w:br/>
      </w:r>
      <w:r>
        <w:rPr>
          <w:rFonts w:ascii="FlandersArtSans-Regular" w:eastAsia="Times New Roman" w:hAnsi="FlandersArtSans-Regular" w:cs="Times New Roman"/>
          <w:sz w:val="20"/>
          <w:szCs w:val="20"/>
          <w:lang w:eastAsia="nl-BE"/>
        </w:rPr>
        <w:t xml:space="preserve">Accounting </w:t>
      </w:r>
      <w:r>
        <w:rPr>
          <w:rFonts w:ascii="FlandersArtSans-Regular" w:eastAsia="Times New Roman" w:hAnsi="FlandersArtSans-Regular" w:cs="Times New Roman"/>
          <w:color w:val="000000" w:themeColor="text1"/>
          <w:sz w:val="20"/>
          <w:szCs w:val="20"/>
          <w:lang w:eastAsia="nl-BE"/>
        </w:rPr>
        <w:t xml:space="preserve">for no less than 94% of the </w:t>
      </w:r>
      <w:r>
        <w:rPr>
          <w:rFonts w:ascii="FlandersArtSans-Regular" w:eastAsia="Times New Roman" w:hAnsi="FlandersArtSans-Regular" w:cs="Times New Roman"/>
          <w:i/>
          <w:color w:val="000000" w:themeColor="text1"/>
          <w:sz w:val="20"/>
          <w:szCs w:val="20"/>
          <w:lang w:eastAsia="nl-BE"/>
        </w:rPr>
        <w:t>mineral products</w:t>
      </w:r>
      <w:r>
        <w:rPr>
          <w:rFonts w:ascii="FlandersArtSans-Regular" w:eastAsia="Times New Roman" w:hAnsi="FlandersArtSans-Regular" w:cs="Times New Roman"/>
          <w:color w:val="000000" w:themeColor="text1"/>
          <w:sz w:val="20"/>
          <w:szCs w:val="20"/>
          <w:lang w:eastAsia="nl-BE"/>
        </w:rPr>
        <w:t xml:space="preserve"> commodity group, </w:t>
      </w:r>
      <w:r>
        <w:rPr>
          <w:rFonts w:ascii="FlandersArtSans-Regular" w:eastAsia="Times New Roman" w:hAnsi="FlandersArtSans-Regular" w:cs="Times New Roman"/>
          <w:i/>
          <w:color w:val="000000" w:themeColor="text1"/>
          <w:sz w:val="20"/>
          <w:szCs w:val="20"/>
          <w:lang w:eastAsia="nl-BE"/>
        </w:rPr>
        <w:t xml:space="preserve">mineral fuels — </w:t>
      </w:r>
      <w:r>
        <w:rPr>
          <w:rFonts w:ascii="FlandersArtSans-Regular" w:hAnsi="FlandersArtSans-Regular"/>
          <w:color w:val="000000" w:themeColor="text1"/>
          <w:sz w:val="20"/>
          <w:szCs w:val="20"/>
        </w:rPr>
        <w:t>Flanders’ second most important export commodity in 2017 —</w:t>
      </w:r>
      <w:r>
        <w:rPr>
          <w:rFonts w:ascii="FlandersArtSans-Regular" w:eastAsia="Times New Roman" w:hAnsi="FlandersArtSans-Regular" w:cs="Times New Roman"/>
          <w:color w:val="000000" w:themeColor="text1"/>
          <w:sz w:val="20"/>
          <w:szCs w:val="20"/>
          <w:lang w:eastAsia="nl-BE"/>
        </w:rPr>
        <w:t xml:space="preserve"> recorded </w:t>
      </w:r>
      <w:r>
        <w:rPr>
          <w:rFonts w:ascii="FlandersArtSans-Regular" w:eastAsia="Times New Roman" w:hAnsi="FlandersArtSans-Regular" w:cs="Times New Roman"/>
          <w:sz w:val="20"/>
          <w:szCs w:val="20"/>
          <w:lang w:eastAsia="nl-BE"/>
        </w:rPr>
        <w:t xml:space="preserve">a value increase of just under EUR 6 billion </w:t>
      </w:r>
      <w:r>
        <w:rPr>
          <w:rFonts w:ascii="FlandersArtSans-Regular" w:hAnsi="FlandersArtSans-Regular"/>
          <w:sz w:val="20"/>
          <w:szCs w:val="20"/>
        </w:rPr>
        <w:t xml:space="preserve">(+28.3%), following 3 consecutive years of declining export values in 2014 (-9.9%), 2015 (-28.3%) and </w:t>
      </w:r>
      <w:r>
        <w:rPr>
          <w:rFonts w:ascii="FlandersArtSans-Regular" w:hAnsi="FlandersArtSans-Regular"/>
          <w:sz w:val="20"/>
          <w:szCs w:val="20"/>
        </w:rPr>
        <w:br/>
        <w:t>2016 (-14.2%).</w:t>
      </w:r>
    </w:p>
    <w:p>
      <w:pPr>
        <w:pStyle w:val="ListParagraph"/>
        <w:numPr>
          <w:ilvl w:val="4"/>
          <w:numId w:val="3"/>
        </w:numPr>
        <w:spacing w:before="240"/>
        <w:ind w:left="1418" w:right="261"/>
        <w:rPr>
          <w:rFonts w:ascii="FlandersArtSans-Regular" w:hAnsi="FlandersArtSans-Regular"/>
          <w:sz w:val="20"/>
          <w:szCs w:val="20"/>
        </w:rPr>
      </w:pPr>
      <w:r>
        <w:rPr>
          <w:rFonts w:ascii="FlandersArtSans-Regular" w:hAnsi="FlandersArtSans-Regular"/>
          <w:sz w:val="20"/>
          <w:szCs w:val="20"/>
        </w:rPr>
        <w:t xml:space="preserve">With exports totalling EUR 27.23 billion and up 8.9% on 2016, </w:t>
      </w:r>
      <w:r>
        <w:rPr>
          <w:rFonts w:ascii="FlandersArtSans-Regular" w:hAnsi="FlandersArtSans-Regular" w:cs="Arial"/>
          <w:b/>
          <w:i/>
          <w:sz w:val="20"/>
          <w:szCs w:val="20"/>
        </w:rPr>
        <w:t>plastics</w:t>
      </w:r>
      <w:r>
        <w:rPr>
          <w:rFonts w:ascii="FlandersArtSans-Regular" w:hAnsi="FlandersArtSans-Regular"/>
          <w:sz w:val="20"/>
          <w:szCs w:val="20"/>
        </w:rPr>
        <w:t>, our fifth export commodity by value, also ranked among the high-growth industries in 2017.</w:t>
      </w:r>
    </w:p>
    <w:p>
      <w:pPr>
        <w:pStyle w:val="ListParagraph"/>
        <w:numPr>
          <w:ilvl w:val="4"/>
          <w:numId w:val="3"/>
        </w:numPr>
        <w:spacing w:before="240"/>
        <w:ind w:left="1418" w:right="261"/>
        <w:rPr>
          <w:rFonts w:ascii="FlandersArtSans-Regular" w:hAnsi="FlandersArtSans-Regular"/>
          <w:sz w:val="20"/>
          <w:szCs w:val="20"/>
        </w:rPr>
      </w:pPr>
      <w:r>
        <w:rPr>
          <w:rFonts w:ascii="FlandersArtSans-Regular" w:hAnsi="FlandersArtSans-Regular" w:cs="Arial"/>
          <w:b/>
          <w:i/>
          <w:sz w:val="20"/>
          <w:szCs w:val="20"/>
        </w:rPr>
        <w:t>Machines, mechanical appliances and electronic</w:t>
      </w:r>
      <w:r>
        <w:rPr>
          <w:rFonts w:ascii="FlandersArtSans-Regular" w:hAnsi="FlandersArtSans-Regular"/>
          <w:i/>
          <w:sz w:val="20"/>
          <w:szCs w:val="20"/>
        </w:rPr>
        <w:t xml:space="preserve"> </w:t>
      </w:r>
      <w:r>
        <w:rPr>
          <w:rFonts w:ascii="FlandersArtSans-Regular" w:hAnsi="FlandersArtSans-Regular" w:cs="Arial"/>
          <w:b/>
          <w:i/>
          <w:sz w:val="20"/>
          <w:szCs w:val="20"/>
        </w:rPr>
        <w:t>equipment</w:t>
      </w:r>
      <w:r>
        <w:rPr>
          <w:rFonts w:ascii="FlandersArtSans-Regular" w:hAnsi="FlandersArtSans-Regular"/>
          <w:sz w:val="20"/>
          <w:szCs w:val="20"/>
        </w:rPr>
        <w:t xml:space="preserve">, our third most important export line with a 10.9% proportion of total annual exports, also enjoyed robust export growth in 2017 (+4.2%). </w:t>
      </w:r>
    </w:p>
    <w:p>
      <w:pPr>
        <w:pStyle w:val="ListParagraph"/>
        <w:spacing w:before="240"/>
        <w:ind w:left="1418"/>
        <w:rPr>
          <w:rFonts w:ascii="Arial" w:hAnsi="Arial" w:cs="Arial"/>
          <w:color w:val="FF0000"/>
          <w:sz w:val="20"/>
          <w:szCs w:val="20"/>
        </w:rPr>
      </w:pPr>
    </w:p>
    <w:p>
      <w:pPr>
        <w:ind w:left="567"/>
        <w:jc w:val="center"/>
        <w:rPr>
          <w:rFonts w:ascii="Arial" w:hAnsi="Arial" w:cs="Arial"/>
          <w:sz w:val="20"/>
          <w:szCs w:val="20"/>
          <w:lang w:val="nl-BE"/>
        </w:rPr>
      </w:pPr>
      <w:r>
        <w:rPr>
          <w:rFonts w:ascii="Arial" w:hAnsi="Arial" w:cs="Arial"/>
          <w:noProof/>
          <w:sz w:val="20"/>
          <w:szCs w:val="20"/>
          <w:lang w:val="nl-BE"/>
        </w:rPr>
        <w:lastRenderedPageBreak/>
        <w:drawing>
          <wp:inline distT="0" distB="0" distL="0" distR="0">
            <wp:extent cx="5962650" cy="444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4444365"/>
                    </a:xfrm>
                    <a:prstGeom prst="rect">
                      <a:avLst/>
                    </a:prstGeom>
                    <a:noFill/>
                  </pic:spPr>
                </pic:pic>
              </a:graphicData>
            </a:graphic>
          </wp:inline>
        </w:drawing>
      </w:r>
    </w:p>
    <w:p>
      <w:pPr>
        <w:pStyle w:val="ListParagraph"/>
        <w:ind w:left="851"/>
        <w:jc w:val="center"/>
        <w:rPr>
          <w:rFonts w:ascii="Arial" w:hAnsi="Arial" w:cs="Arial"/>
          <w:sz w:val="20"/>
          <w:szCs w:val="20"/>
          <w:lang w:val="nl-BE"/>
        </w:rPr>
      </w:pPr>
    </w:p>
    <w:p>
      <w:pPr>
        <w:pStyle w:val="ListParagraph"/>
        <w:numPr>
          <w:ilvl w:val="0"/>
          <w:numId w:val="3"/>
        </w:numPr>
        <w:rPr>
          <w:rFonts w:ascii="FlandersArtSans-Regular" w:hAnsi="FlandersArtSans-Regular"/>
          <w:sz w:val="20"/>
          <w:szCs w:val="20"/>
        </w:rPr>
      </w:pPr>
      <w:r>
        <w:rPr>
          <w:rFonts w:ascii="FlandersArtSans-Regular" w:hAnsi="FlandersArtSans-Regular"/>
          <w:sz w:val="20"/>
          <w:szCs w:val="20"/>
        </w:rPr>
        <w:t xml:space="preserve">Flemish 2017 merchandise </w:t>
      </w:r>
      <w:r>
        <w:rPr>
          <w:rFonts w:ascii="FlandersArtSans-Regular" w:hAnsi="FlandersArtSans-Regular"/>
          <w:b/>
          <w:sz w:val="20"/>
          <w:szCs w:val="20"/>
        </w:rPr>
        <w:t>imports</w:t>
      </w:r>
      <w:r>
        <w:rPr>
          <w:rFonts w:ascii="FlandersArtSans-Regular" w:hAnsi="FlandersArtSans-Regular"/>
          <w:sz w:val="20"/>
          <w:szCs w:val="20"/>
        </w:rPr>
        <w:t xml:space="preserve"> were worth EUR 299 billion, up 3.1% or equivalent to a EUR 9.06 billion value increase compared to 2016.</w:t>
      </w:r>
    </w:p>
    <w:p>
      <w:pPr>
        <w:pStyle w:val="Default"/>
        <w:numPr>
          <w:ilvl w:val="0"/>
          <w:numId w:val="6"/>
        </w:numPr>
        <w:rPr>
          <w:rFonts w:cs="Arial"/>
          <w:color w:val="auto"/>
          <w:sz w:val="20"/>
          <w:szCs w:val="20"/>
          <w:lang w:val="en-US"/>
        </w:rPr>
      </w:pPr>
      <w:r>
        <w:rPr>
          <w:rFonts w:cstheme="minorBidi"/>
          <w:color w:val="auto"/>
          <w:sz w:val="20"/>
          <w:szCs w:val="20"/>
          <w:lang w:val="en-US"/>
        </w:rPr>
        <w:t xml:space="preserve">in 2017, the </w:t>
      </w:r>
      <w:r>
        <w:rPr>
          <w:rFonts w:cstheme="minorBidi"/>
          <w:i/>
          <w:color w:val="auto"/>
          <w:sz w:val="20"/>
          <w:szCs w:val="20"/>
          <w:lang w:val="en-US"/>
        </w:rPr>
        <w:t>Holland - mineral fuels</w:t>
      </w:r>
      <w:r>
        <w:rPr>
          <w:rFonts w:cstheme="minorBidi"/>
          <w:color w:val="auto"/>
          <w:sz w:val="20"/>
          <w:szCs w:val="20"/>
          <w:lang w:val="en-US"/>
        </w:rPr>
        <w:t xml:space="preserve"> country and commodity combination once again proved instrumental in the risen value of Flanders worldwide imports. The Netherlands single-handedly accounted for over half of the total value increase of imports and thus confirmed its role as prime import provider (+9.71%) of 17.92% of overall Flemish imports in 2017.</w:t>
      </w:r>
      <w:r>
        <w:rPr>
          <w:color w:val="auto"/>
          <w:sz w:val="23"/>
          <w:szCs w:val="23"/>
          <w:lang w:val="en-US"/>
        </w:rPr>
        <w:br/>
      </w:r>
      <w:r>
        <w:rPr>
          <w:rFonts w:cstheme="minorBidi"/>
          <w:color w:val="auto"/>
          <w:sz w:val="20"/>
          <w:szCs w:val="20"/>
          <w:lang w:val="en-US"/>
        </w:rPr>
        <w:t xml:space="preserve">2017 Imports from Germany, runner-up as a supplier to Flanders, were down 6.08% (11.78% share of total imports), with France traditionally trailing third, </w:t>
      </w:r>
      <w:r>
        <w:rPr>
          <w:rFonts w:cs="Arial"/>
          <w:color w:val="auto"/>
          <w:sz w:val="20"/>
          <w:szCs w:val="20"/>
          <w:lang w:val="en-US"/>
        </w:rPr>
        <w:t>up 5.05% on 2016 and taking a 8.17% share of total imports.</w:t>
      </w:r>
    </w:p>
    <w:p>
      <w:pPr>
        <w:pStyle w:val="Default"/>
        <w:ind w:left="567"/>
        <w:jc w:val="center"/>
        <w:rPr>
          <w:rFonts w:cs="Arial"/>
          <w:color w:val="FF0000"/>
          <w:sz w:val="20"/>
          <w:szCs w:val="20"/>
          <w:lang w:val="en-US"/>
        </w:rPr>
      </w:pPr>
      <w:r>
        <w:rPr>
          <w:noProof/>
        </w:rPr>
        <w:lastRenderedPageBreak/>
        <w:drawing>
          <wp:inline distT="0" distB="0" distL="0" distR="0">
            <wp:extent cx="6174105" cy="4693920"/>
            <wp:effectExtent l="0" t="0" r="7620" b="0"/>
            <wp:docPr id="1" name="Chart 1">
              <a:extLst xmlns:a="http://schemas.openxmlformats.org/drawingml/2006/main">
                <a:ext uri="{FF2B5EF4-FFF2-40B4-BE49-F238E27FC236}">
                  <a16:creationId xmlns:a16="http://schemas.microsoft.com/office/drawing/2014/main" id="{FDBB3570-5292-480A-8186-5C9ACDE28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ListParagraph"/>
        <w:numPr>
          <w:ilvl w:val="0"/>
          <w:numId w:val="6"/>
        </w:numPr>
        <w:spacing w:before="120"/>
        <w:ind w:left="1077" w:hanging="357"/>
        <w:rPr>
          <w:rFonts w:ascii="FlandersArtSans-Regular" w:hAnsi="FlandersArtSans-Regular" w:cs="Arial"/>
          <w:color w:val="FF0000"/>
          <w:sz w:val="20"/>
          <w:szCs w:val="20"/>
        </w:rPr>
      </w:pPr>
      <w:r>
        <w:rPr>
          <w:rFonts w:ascii="FlandersArtSans-Regular" w:hAnsi="FlandersArtSans-Regular" w:cs="Arial"/>
          <w:color w:val="000000" w:themeColor="text1"/>
          <w:sz w:val="20"/>
          <w:szCs w:val="20"/>
        </w:rPr>
        <w:t xml:space="preserve">in 2017, the </w:t>
      </w:r>
      <w:r>
        <w:rPr>
          <w:rFonts w:ascii="FlandersArtSans-Regular" w:hAnsi="FlandersArtSans-Regular" w:cs="Arial"/>
          <w:b/>
          <w:i/>
          <w:color w:val="000000" w:themeColor="text1"/>
          <w:sz w:val="20"/>
          <w:szCs w:val="20"/>
        </w:rPr>
        <w:t>mineral products</w:t>
      </w:r>
      <w:r>
        <w:rPr>
          <w:rFonts w:ascii="FlandersArtSans-Regular" w:hAnsi="FlandersArtSans-Regular" w:cs="Arial"/>
          <w:color w:val="000000" w:themeColor="text1"/>
          <w:sz w:val="20"/>
          <w:szCs w:val="20"/>
        </w:rPr>
        <w:t xml:space="preserve"> commodity group experienced the second largest increase in import value (EUR +45.2 billion or up 24.13%, with </w:t>
      </w:r>
      <w:r>
        <w:rPr>
          <w:rFonts w:ascii="FlandersArtSans-Regular" w:hAnsi="FlandersArtSans-Regular" w:cs="Arial"/>
          <w:b/>
          <w:i/>
          <w:color w:val="000000" w:themeColor="text1"/>
          <w:sz w:val="20"/>
          <w:szCs w:val="20"/>
        </w:rPr>
        <w:t>fuels</w:t>
      </w:r>
      <w:r>
        <w:rPr>
          <w:rFonts w:ascii="FlandersArtSans-Regular" w:hAnsi="FlandersArtSans-Regular" w:cs="Arial"/>
          <w:color w:val="000000" w:themeColor="text1"/>
          <w:sz w:val="20"/>
          <w:szCs w:val="20"/>
        </w:rPr>
        <w:t xml:space="preserve"> featuring as star commodity. Ranked second among all import supplies, </w:t>
      </w:r>
      <w:r>
        <w:rPr>
          <w:rFonts w:ascii="FlandersArtSans-Regular" w:hAnsi="FlandersArtSans-Regular" w:cs="Arial"/>
          <w:b/>
          <w:i/>
          <w:color w:val="000000" w:themeColor="text1"/>
          <w:sz w:val="20"/>
          <w:szCs w:val="20"/>
        </w:rPr>
        <w:t>mineral products</w:t>
      </w:r>
      <w:r>
        <w:rPr>
          <w:rFonts w:ascii="FlandersArtSans-Regular" w:hAnsi="FlandersArtSans-Regular" w:cs="Arial"/>
          <w:color w:val="000000" w:themeColor="text1"/>
          <w:sz w:val="20"/>
          <w:szCs w:val="20"/>
        </w:rPr>
        <w:t xml:space="preserve"> took up about 15% of all Flemish imports. </w:t>
      </w:r>
      <w:r>
        <w:rPr>
          <w:rFonts w:ascii="FlandersArtSans-Regular" w:hAnsi="FlandersArtSans-Regular" w:cs="Arial"/>
          <w:color w:val="FF0000"/>
          <w:sz w:val="20"/>
          <w:szCs w:val="20"/>
        </w:rPr>
        <w:br/>
      </w:r>
      <w:r>
        <w:rPr>
          <w:rFonts w:ascii="FlandersArtSans-Regular" w:hAnsi="FlandersArtSans-Regular" w:cs="Arial"/>
          <w:color w:val="000000" w:themeColor="text1"/>
          <w:sz w:val="20"/>
          <w:szCs w:val="20"/>
        </w:rPr>
        <w:t xml:space="preserve">Despite a 2.66% drop in their combined import value, </w:t>
      </w:r>
      <w:r>
        <w:rPr>
          <w:rFonts w:ascii="FlandersArtSans-Regular" w:hAnsi="FlandersArtSans-Regular" w:cs="Arial"/>
          <w:b/>
          <w:i/>
          <w:color w:val="000000" w:themeColor="text1"/>
          <w:sz w:val="20"/>
          <w:szCs w:val="20"/>
        </w:rPr>
        <w:t>chemicals and pharmaceuticals</w:t>
      </w:r>
      <w:r>
        <w:rPr>
          <w:rFonts w:ascii="FlandersArtSans-Regular" w:hAnsi="FlandersArtSans-Regular" w:cs="Arial"/>
          <w:b/>
          <w:color w:val="000000" w:themeColor="text1"/>
          <w:sz w:val="20"/>
          <w:szCs w:val="20"/>
        </w:rPr>
        <w:t xml:space="preserve"> </w:t>
      </w:r>
      <w:r>
        <w:rPr>
          <w:rFonts w:ascii="FlandersArtSans-Regular" w:hAnsi="FlandersArtSans-Regular" w:cs="Arial"/>
          <w:color w:val="000000" w:themeColor="text1"/>
          <w:sz w:val="20"/>
          <w:szCs w:val="20"/>
        </w:rPr>
        <w:t>firmly held on to their top spot as import commodities, accounting for 19.72% of total trade in goods imports in 2017.</w:t>
      </w:r>
    </w:p>
    <w:p>
      <w:pPr>
        <w:pStyle w:val="ListParagraph"/>
        <w:numPr>
          <w:ilvl w:val="0"/>
          <w:numId w:val="6"/>
        </w:numPr>
        <w:spacing w:before="120"/>
        <w:ind w:left="1077" w:hanging="357"/>
        <w:rPr>
          <w:rFonts w:cs="Arial"/>
          <w:color w:val="FF0000"/>
          <w:sz w:val="20"/>
          <w:szCs w:val="20"/>
        </w:rPr>
      </w:pPr>
      <w:r>
        <w:rPr>
          <w:rFonts w:ascii="FlandersArtSans-Regular" w:hAnsi="FlandersArtSans-Regular" w:cs="Arial"/>
          <w:b/>
          <w:i/>
          <w:color w:val="000000" w:themeColor="text1"/>
          <w:sz w:val="20"/>
          <w:szCs w:val="20"/>
        </w:rPr>
        <w:t>Transport</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equipment</w:t>
      </w:r>
      <w:r>
        <w:rPr>
          <w:rFonts w:ascii="FlandersArtSans-Regular" w:hAnsi="FlandersArtSans-Regular" w:cs="Arial"/>
          <w:color w:val="000000" w:themeColor="text1"/>
          <w:sz w:val="20"/>
          <w:szCs w:val="20"/>
        </w:rPr>
        <w:t xml:space="preserve"> saw the value of its imports decrease by 11.64%, leading it to snatch up a 13.1% share in total imports (but for </w:t>
      </w:r>
      <w:r>
        <w:rPr>
          <w:rFonts w:ascii="FlandersArtSans-Regular" w:hAnsi="FlandersArtSans-Regular" w:cs="Arial"/>
          <w:b/>
          <w:i/>
          <w:color w:val="000000" w:themeColor="text1"/>
          <w:sz w:val="20"/>
          <w:szCs w:val="20"/>
        </w:rPr>
        <w:t>cars</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other</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road</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vehicles</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and</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automotive</w:t>
      </w:r>
      <w:r>
        <w:rPr>
          <w:rFonts w:ascii="FlandersArtSans-Regular" w:hAnsi="FlandersArtSans-Regular" w:cs="Arial"/>
          <w:i/>
          <w:color w:val="000000" w:themeColor="text1"/>
          <w:sz w:val="20"/>
          <w:szCs w:val="20"/>
        </w:rPr>
        <w:t xml:space="preserve"> </w:t>
      </w:r>
      <w:r>
        <w:rPr>
          <w:rFonts w:ascii="FlandersArtSans-Regular" w:hAnsi="FlandersArtSans-Regular" w:cs="Arial"/>
          <w:b/>
          <w:i/>
          <w:color w:val="000000" w:themeColor="text1"/>
          <w:sz w:val="20"/>
          <w:szCs w:val="20"/>
        </w:rPr>
        <w:t>components</w:t>
      </w:r>
      <w:r>
        <w:rPr>
          <w:rFonts w:ascii="FlandersArtSans-Regular" w:hAnsi="FlandersArtSans-Regular" w:cs="Arial"/>
          <w:color w:val="000000" w:themeColor="text1"/>
          <w:sz w:val="20"/>
          <w:szCs w:val="20"/>
        </w:rPr>
        <w:t xml:space="preserve">, imports only slid by 6.83%). </w:t>
      </w:r>
      <w:r>
        <w:rPr>
          <w:rFonts w:ascii="FlandersArtSans-Regular" w:hAnsi="FlandersArtSans-Regular" w:cs="Arial"/>
          <w:color w:val="000000" w:themeColor="text1"/>
          <w:sz w:val="20"/>
          <w:szCs w:val="20"/>
        </w:rPr>
        <w:br/>
        <w:t xml:space="preserve">Some of the other key branches did, however, record some import value growth, as was the case for </w:t>
      </w:r>
      <w:r>
        <w:rPr>
          <w:rFonts w:ascii="FlandersArtSans-Regular" w:hAnsi="FlandersArtSans-Regular" w:cs="Arial"/>
          <w:b/>
          <w:i/>
          <w:color w:val="000000" w:themeColor="text1"/>
          <w:sz w:val="20"/>
          <w:szCs w:val="20"/>
        </w:rPr>
        <w:t>machinery</w:t>
      </w:r>
      <w:r>
        <w:rPr>
          <w:rFonts w:ascii="FlandersArtSans-Regular" w:hAnsi="FlandersArtSans-Regular" w:cs="Arial"/>
          <w:color w:val="000000" w:themeColor="text1"/>
          <w:sz w:val="20"/>
          <w:szCs w:val="20"/>
        </w:rPr>
        <w:t xml:space="preserve"> (+5.57%), </w:t>
      </w:r>
      <w:r>
        <w:rPr>
          <w:rFonts w:ascii="FlandersArtSans-Regular" w:hAnsi="FlandersArtSans-Regular" w:cs="Arial"/>
          <w:b/>
          <w:i/>
          <w:color w:val="000000" w:themeColor="text1"/>
          <w:sz w:val="20"/>
          <w:szCs w:val="20"/>
        </w:rPr>
        <w:t>base</w:t>
      </w:r>
      <w:r>
        <w:rPr>
          <w:rFonts w:ascii="FlandersArtSans-Regular" w:hAnsi="FlandersArtSans-Regular" w:cs="Arial"/>
          <w:color w:val="000000" w:themeColor="text1"/>
          <w:sz w:val="20"/>
          <w:szCs w:val="20"/>
        </w:rPr>
        <w:t xml:space="preserve"> </w:t>
      </w:r>
      <w:r>
        <w:rPr>
          <w:rFonts w:ascii="FlandersArtSans-Regular" w:hAnsi="FlandersArtSans-Regular" w:cs="Arial"/>
          <w:b/>
          <w:i/>
          <w:color w:val="000000" w:themeColor="text1"/>
          <w:sz w:val="20"/>
          <w:szCs w:val="20"/>
        </w:rPr>
        <w:t>metals</w:t>
      </w:r>
      <w:r>
        <w:rPr>
          <w:rFonts w:ascii="FlandersArtSans-Regular" w:hAnsi="FlandersArtSans-Regular" w:cs="Arial"/>
          <w:color w:val="000000" w:themeColor="text1"/>
          <w:sz w:val="20"/>
          <w:szCs w:val="20"/>
        </w:rPr>
        <w:t xml:space="preserve"> (+17.06%) and </w:t>
      </w:r>
      <w:r>
        <w:rPr>
          <w:rFonts w:ascii="FlandersArtSans-Regular" w:hAnsi="FlandersArtSans-Regular" w:cs="Arial"/>
          <w:b/>
          <w:i/>
          <w:color w:val="000000" w:themeColor="text1"/>
          <w:sz w:val="20"/>
          <w:szCs w:val="20"/>
        </w:rPr>
        <w:t>plastics</w:t>
      </w:r>
      <w:r>
        <w:rPr>
          <w:rFonts w:ascii="FlandersArtSans-Regular" w:hAnsi="FlandersArtSans-Regular" w:cs="Arial"/>
          <w:color w:val="000000" w:themeColor="text1"/>
          <w:sz w:val="20"/>
          <w:szCs w:val="20"/>
        </w:rPr>
        <w:t xml:space="preserve"> (+12.6%).</w:t>
      </w:r>
    </w:p>
    <w:p>
      <w:pPr>
        <w:pStyle w:val="ListParagraph"/>
        <w:spacing w:before="120"/>
        <w:ind w:left="142"/>
        <w:rPr>
          <w:rFonts w:ascii="FlandersArtSans-Regular" w:hAnsi="FlandersArtSans-Regular" w:cs="Arial"/>
          <w:i/>
          <w:color w:val="000000" w:themeColor="text1"/>
          <w:sz w:val="20"/>
          <w:szCs w:val="20"/>
        </w:rPr>
      </w:pPr>
      <w:r>
        <w:rPr>
          <w:rFonts w:ascii="FlandersArtSans-Regular" w:hAnsi="FlandersArtSans-Regular" w:cs="Arial"/>
          <w:i/>
          <w:noProof/>
          <w:color w:val="000000" w:themeColor="text1"/>
          <w:sz w:val="20"/>
          <w:szCs w:val="20"/>
        </w:rPr>
        <w:lastRenderedPageBreak/>
        <w:drawing>
          <wp:inline distT="0" distB="0" distL="0" distR="0">
            <wp:extent cx="6301740" cy="574180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83" cy="5751137"/>
                    </a:xfrm>
                    <a:prstGeom prst="rect">
                      <a:avLst/>
                    </a:prstGeom>
                    <a:noFill/>
                  </pic:spPr>
                </pic:pic>
              </a:graphicData>
            </a:graphic>
          </wp:inline>
        </w:drawing>
      </w:r>
    </w:p>
    <w:p>
      <w:pPr>
        <w:pStyle w:val="ListParagraph"/>
        <w:spacing w:before="120"/>
        <w:ind w:left="284"/>
        <w:rPr>
          <w:rFonts w:cs="Arial"/>
          <w:sz w:val="20"/>
          <w:szCs w:val="20"/>
        </w:rPr>
      </w:pPr>
    </w:p>
    <w:p>
      <w:pPr>
        <w:pStyle w:val="ListParagraph"/>
        <w:numPr>
          <w:ilvl w:val="0"/>
          <w:numId w:val="3"/>
        </w:numPr>
        <w:ind w:left="426"/>
        <w:rPr>
          <w:rFonts w:ascii="FlandersArtSans-Regular" w:hAnsi="FlandersArtSans-Regular" w:cs="Arial"/>
          <w:sz w:val="20"/>
          <w:szCs w:val="20"/>
        </w:rPr>
      </w:pPr>
      <w:r>
        <w:rPr>
          <w:rFonts w:ascii="FlandersArtSans-Regular" w:hAnsi="FlandersArtSans-Regular" w:cs="Arial"/>
          <w:sz w:val="20"/>
          <w:szCs w:val="20"/>
        </w:rPr>
        <w:t xml:space="preserve">The value of Flemish total trade in goods with a particular country (exports and imports combined), gives an idea of the main trading partners to Flanders. </w:t>
      </w:r>
    </w:p>
    <w:p>
      <w:pPr>
        <w:pStyle w:val="ListParagraph"/>
        <w:ind w:left="426"/>
        <w:rPr>
          <w:rFonts w:cs="Arial"/>
          <w:sz w:val="20"/>
          <w:szCs w:val="20"/>
        </w:rPr>
      </w:pPr>
    </w:p>
    <w:p>
      <w:pPr>
        <w:pStyle w:val="ListParagraph"/>
        <w:numPr>
          <w:ilvl w:val="1"/>
          <w:numId w:val="3"/>
        </w:numPr>
        <w:spacing w:after="0"/>
        <w:ind w:left="1434" w:hanging="357"/>
        <w:rPr>
          <w:rFonts w:ascii="FlandersArtSans-Regular" w:hAnsi="FlandersArtSans-Regular" w:cs="Arial"/>
          <w:sz w:val="20"/>
          <w:szCs w:val="20"/>
        </w:rPr>
      </w:pPr>
      <w:r>
        <w:rPr>
          <w:rFonts w:ascii="FlandersArtSans-Regular" w:hAnsi="FlandersArtSans-Regular" w:cs="Arial"/>
          <w:sz w:val="20"/>
          <w:szCs w:val="20"/>
        </w:rPr>
        <w:t xml:space="preserve">The Netherlands continued to be Flanders’ main merchandise trading partner in 2017, which was largely due to robust import trade in </w:t>
      </w:r>
      <w:r>
        <w:rPr>
          <w:rFonts w:ascii="FlandersArtSans-Regular" w:hAnsi="FlandersArtSans-Regular" w:cs="Arial"/>
          <w:i/>
          <w:sz w:val="20"/>
          <w:szCs w:val="20"/>
        </w:rPr>
        <w:t xml:space="preserve">mineral fuels and oil refinery products </w:t>
      </w:r>
      <w:r>
        <w:rPr>
          <w:rFonts w:ascii="FlandersArtSans-Regular" w:hAnsi="FlandersArtSans-Regular" w:cs="Arial"/>
          <w:sz w:val="20"/>
          <w:szCs w:val="20"/>
        </w:rPr>
        <w:t>with the northern neigbours. Flanders did indeed import from the Netherlands about half (48.95%) of its worldwide purchases of those energy commodities.</w:t>
      </w:r>
    </w:p>
    <w:p>
      <w:pPr>
        <w:pStyle w:val="ListParagraph"/>
        <w:numPr>
          <w:ilvl w:val="1"/>
          <w:numId w:val="3"/>
        </w:numPr>
        <w:spacing w:after="0"/>
        <w:ind w:left="1434" w:hanging="357"/>
        <w:rPr>
          <w:rFonts w:ascii="FlandersArtSans-Regular" w:hAnsi="FlandersArtSans-Regular" w:cs="Arial"/>
          <w:sz w:val="20"/>
          <w:szCs w:val="20"/>
        </w:rPr>
      </w:pPr>
      <w:r>
        <w:rPr>
          <w:rFonts w:ascii="FlandersArtSans-Regular" w:hAnsi="FlandersArtSans-Regular" w:cs="Arial"/>
          <w:sz w:val="20"/>
          <w:szCs w:val="20"/>
        </w:rPr>
        <w:t xml:space="preserve">Eight out of the Flemish region’s top ten trading partners are EU countries. Of all non-EU trading partners, only the United States and China claimed a top-ten spot. </w:t>
      </w:r>
    </w:p>
    <w:p>
      <w:pPr>
        <w:ind w:left="284"/>
        <w:rPr>
          <w:rFonts w:ascii="Arial" w:hAnsi="Arial" w:cs="Arial"/>
          <w:sz w:val="20"/>
          <w:szCs w:val="20"/>
        </w:rPr>
      </w:pPr>
      <w:r>
        <w:rPr>
          <w:noProof/>
        </w:rPr>
        <w:lastRenderedPageBreak/>
        <w:drawing>
          <wp:inline distT="0" distB="0" distL="0" distR="0">
            <wp:extent cx="6646545" cy="5243195"/>
            <wp:effectExtent l="0" t="0" r="1905" b="0"/>
            <wp:docPr id="4" name="Chart 4">
              <a:extLst xmlns:a="http://schemas.openxmlformats.org/drawingml/2006/main">
                <a:ext uri="{FF2B5EF4-FFF2-40B4-BE49-F238E27FC236}">
                  <a16:creationId xmlns:a16="http://schemas.microsoft.com/office/drawing/2014/main" id="{BB04E5DF-D01E-459C-B243-91468C433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FlandersArtSans-Regular" w:hAnsi="FlandersArtSans-Regular" w:cs="Arial"/>
          <w:b/>
          <w:sz w:val="20"/>
          <w:szCs w:val="20"/>
        </w:rPr>
        <w:br/>
      </w:r>
      <w:r>
        <w:rPr>
          <w:rFonts w:ascii="FlandersArtSans-Regular" w:hAnsi="FlandersArtSans-Regular" w:cs="Arial"/>
          <w:b/>
          <w:sz w:val="20"/>
          <w:szCs w:val="20"/>
        </w:rPr>
        <w:br/>
        <w:t xml:space="preserve">FLEMISH BALANCE OF TRADE : surpluses and deficits </w:t>
      </w:r>
    </w:p>
    <w:p>
      <w:pPr>
        <w:pStyle w:val="ListParagraph"/>
        <w:spacing w:after="0" w:line="260" w:lineRule="atLeast"/>
        <w:rPr>
          <w:rFonts w:ascii="FlandersArtSans-Regular" w:hAnsi="FlandersArtSans-Regular"/>
          <w:color w:val="FF0000"/>
          <w:sz w:val="20"/>
          <w:szCs w:val="20"/>
        </w:rPr>
      </w:pPr>
      <w:r>
        <w:rPr>
          <w:rFonts w:ascii="FlandersArtSans-Regular" w:hAnsi="FlandersArtSans-Regular"/>
          <w:sz w:val="20"/>
          <w:szCs w:val="20"/>
        </w:rPr>
        <w:t>2017 saw he import value of mineral fuels by Flanders rise to EUR 41 billion, a 23.5% increase on 2016.</w:t>
      </w:r>
      <w:r>
        <w:rPr>
          <w:rFonts w:ascii="FlandersArtSans-Regular" w:hAnsi="FlandersArtSans-Regular"/>
          <w:i/>
          <w:sz w:val="20"/>
          <w:szCs w:val="20"/>
        </w:rPr>
        <w:t xml:space="preserve"> </w:t>
      </w:r>
      <w:r>
        <w:rPr>
          <w:rFonts w:ascii="FlandersArtSans-Regular" w:hAnsi="FlandersArtSans-Regular"/>
          <w:i/>
          <w:sz w:val="20"/>
          <w:szCs w:val="20"/>
        </w:rPr>
        <w:br/>
      </w:r>
      <w:r>
        <w:rPr>
          <w:rFonts w:ascii="FlandersArtSans-Regular" w:hAnsi="FlandersArtSans-Regular"/>
          <w:sz w:val="20"/>
          <w:szCs w:val="20"/>
        </w:rPr>
        <w:t xml:space="preserve">Imported fuels had a great bearing on the terms of trade with </w:t>
      </w:r>
      <w:r>
        <w:rPr>
          <w:rFonts w:ascii="FlandersArtSans-Regular" w:hAnsi="FlandersArtSans-Regular"/>
          <w:b/>
          <w:sz w:val="20"/>
          <w:szCs w:val="20"/>
        </w:rPr>
        <w:t>the Netherlands</w:t>
      </w:r>
      <w:r>
        <w:rPr>
          <w:rFonts w:ascii="FlandersArtSans-Regular" w:hAnsi="FlandersArtSans-Regular"/>
          <w:sz w:val="20"/>
          <w:szCs w:val="20"/>
        </w:rPr>
        <w:t>, our prime supplier country.</w:t>
      </w:r>
      <w:r>
        <w:rPr>
          <w:rFonts w:ascii="FlandersArtSans-Regular" w:hAnsi="FlandersArtSans-Regular"/>
          <w:color w:val="FF0000"/>
          <w:sz w:val="20"/>
          <w:szCs w:val="20"/>
        </w:rPr>
        <w:t xml:space="preserve"> </w:t>
      </w:r>
      <w:r>
        <w:rPr>
          <w:rFonts w:ascii="FlandersArtSans-Regular" w:hAnsi="FlandersArtSans-Regular"/>
          <w:color w:val="FF0000"/>
          <w:sz w:val="20"/>
          <w:szCs w:val="20"/>
        </w:rPr>
        <w:br/>
      </w:r>
      <w:r>
        <w:rPr>
          <w:rFonts w:ascii="FlandersArtSans-Regular" w:hAnsi="FlandersArtSans-Regular"/>
          <w:sz w:val="20"/>
          <w:szCs w:val="20"/>
        </w:rPr>
        <w:t xml:space="preserve">The following example gives a clear indication of the level of impact fuel imports exert on the balance of trade with the Netherlands: just imagine — for the sake of argument — that the fuel trade is altogether left out of the bilteral trade equation with the Netherlands. In that case, the 2017 balance of trade with our northern neighbours would still have tipped the 2017 trade balance in favour of the Netherlands, but that surplus would have totalled a mere EUR 1,8 billion instead of EUR 13.8 billion (with </w:t>
      </w:r>
      <w:r>
        <w:rPr>
          <w:rFonts w:ascii="FlandersArtSans-Regular" w:hAnsi="FlandersArtSans-Regular"/>
          <w:i/>
          <w:sz w:val="20"/>
          <w:szCs w:val="20"/>
        </w:rPr>
        <w:t>fuels</w:t>
      </w:r>
      <w:r>
        <w:rPr>
          <w:rFonts w:ascii="FlandersArtSans-Regular" w:hAnsi="FlandersArtSans-Regular"/>
          <w:sz w:val="20"/>
          <w:szCs w:val="20"/>
        </w:rPr>
        <w:t xml:space="preserve"> trade taken into account). </w:t>
      </w:r>
      <w:r>
        <w:rPr>
          <w:rFonts w:ascii="FlandersArtSans-Regular" w:hAnsi="FlandersArtSans-Regular"/>
          <w:color w:val="FF0000"/>
          <w:sz w:val="20"/>
          <w:szCs w:val="20"/>
        </w:rPr>
        <w:br/>
      </w:r>
      <w:r>
        <w:rPr>
          <w:rFonts w:ascii="FlandersArtSans-Regular" w:hAnsi="FlandersArtSans-Regular"/>
          <w:sz w:val="20"/>
          <w:szCs w:val="20"/>
        </w:rPr>
        <w:t>Yet, the impact of imported fuels stretches beyond the balance of trade with just the Netherlands or with other major energy suppliers. It also affects the global trade performance of Flanders.</w:t>
      </w:r>
      <w:r>
        <w:rPr>
          <w:rFonts w:ascii="FlandersArtSans-Regular" w:hAnsi="FlandersArtSans-Regular"/>
          <w:color w:val="FF0000"/>
          <w:sz w:val="20"/>
          <w:szCs w:val="20"/>
        </w:rPr>
        <w:br/>
      </w:r>
      <w:r>
        <w:rPr>
          <w:rFonts w:ascii="FlandersArtSans-Regular" w:hAnsi="FlandersArtSans-Regular"/>
          <w:sz w:val="20"/>
          <w:szCs w:val="20"/>
        </w:rPr>
        <w:t xml:space="preserve">Putting aside </w:t>
      </w:r>
      <w:r>
        <w:rPr>
          <w:rFonts w:ascii="FlandersArtSans-Regular" w:hAnsi="FlandersArtSans-Regular"/>
          <w:i/>
          <w:sz w:val="20"/>
          <w:szCs w:val="20"/>
        </w:rPr>
        <w:t>mineral fuels, oil and refinery products</w:t>
      </w:r>
      <w:r>
        <w:rPr>
          <w:rFonts w:ascii="FlandersArtSans-Regular" w:hAnsi="FlandersArtSans-Regular"/>
          <w:sz w:val="20"/>
          <w:szCs w:val="20"/>
        </w:rPr>
        <w:t xml:space="preserve"> when calculating the annual value of imports and exports in 2017, Flanders would have posted an even more substantial trade surplus of EUR 31.6, billion instead of the 17.7 billion surplus with </w:t>
      </w:r>
      <w:r>
        <w:rPr>
          <w:rFonts w:ascii="FlandersArtSans-Regular" w:hAnsi="FlandersArtSans-Regular"/>
          <w:i/>
          <w:sz w:val="20"/>
          <w:szCs w:val="20"/>
        </w:rPr>
        <w:t>fuels</w:t>
      </w:r>
      <w:r>
        <w:rPr>
          <w:rFonts w:ascii="FlandersArtSans-Regular" w:hAnsi="FlandersArtSans-Regular"/>
          <w:sz w:val="20"/>
          <w:szCs w:val="20"/>
        </w:rPr>
        <w:t xml:space="preserve"> counted in.</w:t>
      </w:r>
      <w:r>
        <w:rPr>
          <w:rFonts w:ascii="FlandersArtSans-Regular" w:hAnsi="FlandersArtSans-Regular"/>
          <w:sz w:val="20"/>
          <w:szCs w:val="20"/>
        </w:rPr>
        <w:br/>
      </w:r>
    </w:p>
    <w:p>
      <w:pPr>
        <w:pStyle w:val="ListParagraph"/>
        <w:spacing w:line="240" w:lineRule="auto"/>
        <w:jc w:val="center"/>
        <w:rPr>
          <w:rFonts w:ascii="Arial" w:hAnsi="Arial" w:cs="Arial"/>
          <w:color w:val="FF0000"/>
          <w:sz w:val="20"/>
          <w:szCs w:val="20"/>
          <w:lang w:val="nl-BE"/>
        </w:rPr>
      </w:pPr>
      <w:r>
        <w:rPr>
          <w:noProof/>
        </w:rPr>
        <w:lastRenderedPageBreak/>
        <w:drawing>
          <wp:inline distT="0" distB="0" distL="0" distR="0">
            <wp:extent cx="5402580" cy="4610100"/>
            <wp:effectExtent l="0" t="0" r="7620" b="0"/>
            <wp:docPr id="5" name="Chart 5">
              <a:extLst xmlns:a="http://schemas.openxmlformats.org/drawingml/2006/main">
                <a:ext uri="{FF2B5EF4-FFF2-40B4-BE49-F238E27FC236}">
                  <a16:creationId xmlns:a16="http://schemas.microsoft.com/office/drawing/2014/main" id="{A47BB9EB-DB6B-4FAC-875E-AD10A2004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ListParagraph"/>
        <w:spacing w:line="240" w:lineRule="auto"/>
        <w:jc w:val="center"/>
        <w:rPr>
          <w:rFonts w:ascii="Arial" w:hAnsi="Arial" w:cs="Arial"/>
          <w:color w:val="FF0000"/>
          <w:sz w:val="20"/>
          <w:szCs w:val="20"/>
          <w:lang w:val="nl-BE"/>
        </w:rPr>
      </w:pPr>
    </w:p>
    <w:p>
      <w:pPr>
        <w:pStyle w:val="FootnoteText"/>
        <w:rPr>
          <w:rFonts w:ascii="FlandersArtSans-Regular" w:hAnsi="FlandersArtSans-Regular"/>
        </w:rPr>
      </w:pPr>
      <w:r>
        <w:rPr>
          <w:noProof/>
        </w:rPr>
        <w:drawing>
          <wp:inline distT="0" distB="0" distL="0" distR="0">
            <wp:extent cx="6088380" cy="3979545"/>
            <wp:effectExtent l="0" t="0" r="7620" b="1905"/>
            <wp:docPr id="12" name="Chart 12">
              <a:extLst xmlns:a="http://schemas.openxmlformats.org/drawingml/2006/main">
                <a:ext uri="{FF2B5EF4-FFF2-40B4-BE49-F238E27FC236}">
                  <a16:creationId xmlns:a16="http://schemas.microsoft.com/office/drawing/2014/main" id="{C5923CC1-CC35-44AB-984B-B11258495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FootnoteText"/>
        <w:rPr>
          <w:rFonts w:ascii="FlandersArtSans-Regular" w:hAnsi="FlandersArtSans-Regular"/>
        </w:rPr>
      </w:pPr>
    </w:p>
    <w:p>
      <w:pPr>
        <w:pStyle w:val="FootnoteText"/>
        <w:rPr>
          <w:rFonts w:ascii="Arial" w:hAnsi="Arial" w:cs="Arial"/>
          <w:color w:val="0000FF"/>
        </w:rPr>
      </w:pPr>
      <w:r>
        <w:rPr>
          <w:rFonts w:ascii="FlandersArtSans-Regular" w:hAnsi="FlandersArtSans-Regular"/>
        </w:rPr>
        <w:t xml:space="preserve">Traditionally, Flanders has generated its major trade surpluses with its key international markets within the EU28 and has consistently done so with a varied array of export commodities. </w:t>
      </w:r>
      <w:r>
        <w:rPr>
          <w:rFonts w:ascii="FlandersArtSans-Regular" w:hAnsi="FlandersArtSans-Regular"/>
          <w:b/>
        </w:rPr>
        <w:t>Germany</w:t>
      </w:r>
      <w:r>
        <w:rPr>
          <w:rFonts w:ascii="FlandersArtSans-Regular" w:hAnsi="FlandersArtSans-Regular"/>
        </w:rPr>
        <w:t xml:space="preserve"> (EUR 18.0 billion surplus), </w:t>
      </w:r>
      <w:r>
        <w:rPr>
          <w:rFonts w:ascii="FlandersArtSans-Regular" w:hAnsi="FlandersArtSans-Regular"/>
          <w:b/>
        </w:rPr>
        <w:t>France</w:t>
      </w:r>
      <w:r>
        <w:rPr>
          <w:rFonts w:ascii="FlandersArtSans-Regular" w:hAnsi="FlandersArtSans-Regular"/>
        </w:rPr>
        <w:t xml:space="preserve"> (EUR 14.8 billion surplus), </w:t>
      </w:r>
      <w:r>
        <w:rPr>
          <w:rFonts w:ascii="FlandersArtSans-Regular" w:hAnsi="FlandersArtSans-Regular"/>
          <w:b/>
        </w:rPr>
        <w:t>the</w:t>
      </w:r>
      <w:r>
        <w:rPr>
          <w:rFonts w:ascii="FlandersArtSans-Regular" w:hAnsi="FlandersArtSans-Regular"/>
        </w:rPr>
        <w:t xml:space="preserve"> </w:t>
      </w:r>
      <w:r>
        <w:rPr>
          <w:rFonts w:ascii="FlandersArtSans-Regular" w:hAnsi="FlandersArtSans-Regular"/>
          <w:b/>
        </w:rPr>
        <w:t>United</w:t>
      </w:r>
      <w:r>
        <w:rPr>
          <w:rFonts w:ascii="FlandersArtSans-Regular" w:hAnsi="FlandersArtSans-Regular"/>
        </w:rPr>
        <w:t xml:space="preserve"> </w:t>
      </w:r>
      <w:r>
        <w:rPr>
          <w:rFonts w:ascii="FlandersArtSans-Regular" w:hAnsi="FlandersArtSans-Regular"/>
          <w:b/>
        </w:rPr>
        <w:t>Kingdom</w:t>
      </w:r>
      <w:r>
        <w:rPr>
          <w:rFonts w:ascii="FlandersArtSans-Regular" w:hAnsi="FlandersArtSans-Regular"/>
        </w:rPr>
        <w:t xml:space="preserve"> (EUR 12.6 billion) and Italy (</w:t>
      </w:r>
      <w:r>
        <w:rPr>
          <w:rFonts w:ascii="FlandersArtSans-Regular" w:hAnsi="FlandersArtSans-Regular" w:cs="FlandersArtSans-Regular"/>
        </w:rPr>
        <w:t xml:space="preserve">EUR </w:t>
      </w:r>
      <w:r>
        <w:rPr>
          <w:rFonts w:ascii="FlandersArtSans-Regular" w:hAnsi="FlandersArtSans-Regular"/>
        </w:rPr>
        <w:t xml:space="preserve">7.2 billion) are cases in point of such recurrent structural trade surpluses in 2017.  </w:t>
      </w:r>
      <w:r>
        <w:rPr>
          <w:rFonts w:ascii="FlandersArtSans-Regular" w:hAnsi="FlandersArtSans-Regular"/>
          <w:color w:val="FF0000"/>
        </w:rPr>
        <w:br/>
      </w:r>
      <w:r>
        <w:rPr>
          <w:rFonts w:ascii="FlandersArtSans-Regular" w:hAnsi="FlandersArtSans-Regular"/>
          <w:b/>
        </w:rPr>
        <w:lastRenderedPageBreak/>
        <w:t>India</w:t>
      </w:r>
      <w:r>
        <w:rPr>
          <w:rFonts w:ascii="FlandersArtSans-Regular" w:hAnsi="FlandersArtSans-Regular"/>
        </w:rPr>
        <w:t xml:space="preserve"> also crops up in the league table of trade surpluses as the highest-ranking non-EU market to Flanders, which in 2017 recorded a EUR 3.1 billion trade-in-goods surplus, driven primarily by </w:t>
      </w:r>
      <w:r>
        <w:rPr>
          <w:rFonts w:ascii="FlandersArtSans-Regular" w:hAnsi="FlandersArtSans-Regular"/>
          <w:i/>
        </w:rPr>
        <w:t>diamonds</w:t>
      </w:r>
      <w:r>
        <w:rPr>
          <w:rFonts w:ascii="FlandersArtSans-Regular" w:hAnsi="FlandersArtSans-Regular"/>
        </w:rPr>
        <w:t xml:space="preserve">), with </w:t>
      </w:r>
      <w:r>
        <w:rPr>
          <w:rFonts w:ascii="FlandersArtSans-Regular" w:hAnsi="FlandersArtSans-Regular"/>
          <w:b/>
        </w:rPr>
        <w:t>Switzerland</w:t>
      </w:r>
      <w:r>
        <w:rPr>
          <w:rFonts w:ascii="FlandersArtSans-Regular" w:hAnsi="FlandersArtSans-Regular"/>
        </w:rPr>
        <w:t xml:space="preserve"> following further down the list (EUR 2.6 billion surplus) and </w:t>
      </w:r>
      <w:r>
        <w:rPr>
          <w:rFonts w:ascii="FlandersArtSans-Regular" w:hAnsi="FlandersArtSans-Regular"/>
          <w:b/>
        </w:rPr>
        <w:t>Nigeria</w:t>
      </w:r>
      <w:r>
        <w:rPr>
          <w:rFonts w:ascii="FlandersArtSans-Regular" w:hAnsi="FlandersArtSans-Regular"/>
        </w:rPr>
        <w:t>,</w:t>
      </w:r>
      <w:r>
        <w:rPr>
          <w:rFonts w:ascii="FlandersArtSans-Regular" w:hAnsi="FlandersArtSans-Regular"/>
          <w:color w:val="FF0000"/>
        </w:rPr>
        <w:t xml:space="preserve"> </w:t>
      </w:r>
      <w:r>
        <w:rPr>
          <w:rFonts w:ascii="FlandersArtSans-Regular" w:hAnsi="FlandersArtSans-Regular"/>
        </w:rPr>
        <w:t xml:space="preserve">where Flemish trade in goods also showed a EUR 2.2 billion surplus in 2017.  </w:t>
      </w:r>
    </w:p>
    <w:p>
      <w:pPr>
        <w:pStyle w:val="ListParagraph"/>
        <w:spacing w:before="240" w:after="0" w:line="240" w:lineRule="auto"/>
        <w:rPr>
          <w:rFonts w:ascii="FlandersArtSans-Regular" w:hAnsi="FlandersArtSans-Regular"/>
          <w:color w:val="FF0000"/>
          <w:sz w:val="20"/>
          <w:szCs w:val="20"/>
        </w:rPr>
      </w:pPr>
    </w:p>
    <w:p>
      <w:pPr>
        <w:pStyle w:val="ListParagraph"/>
        <w:spacing w:line="240" w:lineRule="auto"/>
        <w:jc w:val="center"/>
        <w:rPr>
          <w:rFonts w:ascii="FlandersArtSans-Regular" w:hAnsi="FlandersArtSans-Regular"/>
          <w:color w:val="FF0000"/>
          <w:lang w:val="nl-BE"/>
        </w:rPr>
      </w:pPr>
      <w:r>
        <w:rPr>
          <w:noProof/>
        </w:rPr>
        <w:drawing>
          <wp:inline distT="0" distB="0" distL="0" distR="0">
            <wp:extent cx="4617720" cy="3390900"/>
            <wp:effectExtent l="0" t="0" r="0" b="0"/>
            <wp:docPr id="10" name="Chart 10">
              <a:extLst xmlns:a="http://schemas.openxmlformats.org/drawingml/2006/main">
                <a:ext uri="{FF2B5EF4-FFF2-40B4-BE49-F238E27FC236}">
                  <a16:creationId xmlns:a16="http://schemas.microsoft.com/office/drawing/2014/main" id="{3440DC4E-BE05-4CDE-AC79-130E3A704C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ListParagraph"/>
        <w:spacing w:line="240" w:lineRule="auto"/>
        <w:rPr>
          <w:rFonts w:ascii="FlandersArtSans-Regular" w:hAnsi="FlandersArtSans-Regular"/>
          <w:color w:val="FF0000"/>
          <w:sz w:val="20"/>
          <w:szCs w:val="20"/>
        </w:rPr>
      </w:pPr>
      <w:r>
        <w:rPr>
          <w:rFonts w:ascii="FlandersArtSans-Regular" w:hAnsi="FlandersArtSans-Regular"/>
          <w:sz w:val="20"/>
          <w:szCs w:val="20"/>
        </w:rPr>
        <w:br/>
        <w:t xml:space="preserve">The most sizeable trade </w:t>
      </w:r>
      <w:r>
        <w:rPr>
          <w:rFonts w:ascii="FlandersArtSans-Regular" w:hAnsi="FlandersArtSans-Regular"/>
          <w:b/>
          <w:sz w:val="20"/>
          <w:szCs w:val="20"/>
        </w:rPr>
        <w:t>deficit</w:t>
      </w:r>
      <w:r>
        <w:rPr>
          <w:rFonts w:ascii="FlandersArtSans-Regular" w:hAnsi="FlandersArtSans-Regular"/>
          <w:sz w:val="20"/>
          <w:szCs w:val="20"/>
        </w:rPr>
        <w:t xml:space="preserve"> has invariably been with the Netherlands, posting a EUR 13.8 billion deficit, brought on in particular by </w:t>
      </w:r>
      <w:r>
        <w:rPr>
          <w:rFonts w:ascii="FlandersArtSans-Regular" w:hAnsi="FlandersArtSans-Regular"/>
          <w:i/>
          <w:sz w:val="20"/>
          <w:szCs w:val="20"/>
        </w:rPr>
        <w:t>mineral fuels</w:t>
      </w:r>
      <w:r>
        <w:rPr>
          <w:rFonts w:ascii="FlandersArtSans-Regular" w:hAnsi="FlandersArtSans-Regular"/>
          <w:sz w:val="20"/>
          <w:szCs w:val="20"/>
        </w:rPr>
        <w:t xml:space="preserve"> as pointed out before), but trade gaps also appeared with </w:t>
      </w:r>
      <w:r>
        <w:rPr>
          <w:rFonts w:ascii="FlandersArtSans-Regular" w:hAnsi="FlandersArtSans-Regular"/>
          <w:sz w:val="20"/>
          <w:szCs w:val="20"/>
        </w:rPr>
        <w:br/>
        <w:t xml:space="preserve">Ireland (EUR 10.4 miljard deficit, generated by </w:t>
      </w:r>
      <w:r>
        <w:rPr>
          <w:rFonts w:ascii="FlandersArtSans-Regular" w:hAnsi="FlandersArtSans-Regular"/>
          <w:i/>
          <w:sz w:val="20"/>
          <w:szCs w:val="20"/>
        </w:rPr>
        <w:t>chemicals / pharmaceuticals</w:t>
      </w:r>
      <w:r>
        <w:rPr>
          <w:rFonts w:ascii="FlandersArtSans-Regular" w:hAnsi="FlandersArtSans-Regular"/>
          <w:sz w:val="20"/>
          <w:szCs w:val="20"/>
        </w:rPr>
        <w:t xml:space="preserve">), the United States (EUR 7.2 billion deficit), with China (EUR 5.8 billion deficit), Japan (EUR 5.5 billion deficit), Russia (EUR 4.9 billion deficit) and Singapore; Flemish imports from the latter country outstripped exports to it by EUR 3 billion. </w:t>
      </w:r>
    </w:p>
    <w:p>
      <w:pPr>
        <w:autoSpaceDE w:val="0"/>
        <w:autoSpaceDN w:val="0"/>
        <w:adjustRightInd w:val="0"/>
        <w:jc w:val="center"/>
        <w:rPr>
          <w:rFonts w:ascii="FlandersArtSans-Regular" w:hAnsi="FlandersArtSans-Regular" w:cs="Tahoma"/>
          <w:b/>
          <w:sz w:val="16"/>
          <w:szCs w:val="16"/>
          <w:lang w:val="nl-BE"/>
        </w:rPr>
      </w:pPr>
      <w:r>
        <w:rPr>
          <w:noProof/>
        </w:rPr>
        <w:drawing>
          <wp:inline distT="0" distB="0" distL="0" distR="0">
            <wp:extent cx="5021580" cy="3634740"/>
            <wp:effectExtent l="0" t="0" r="7620" b="3810"/>
            <wp:docPr id="13" name="Chart 13">
              <a:extLst xmlns:a="http://schemas.openxmlformats.org/drawingml/2006/main">
                <a:ext uri="{FF2B5EF4-FFF2-40B4-BE49-F238E27FC236}">
                  <a16:creationId xmlns:a16="http://schemas.microsoft.com/office/drawing/2014/main" id="{F2937F82-24EE-4FCB-AA09-A0848D2EA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autoSpaceDE w:val="0"/>
        <w:autoSpaceDN w:val="0"/>
        <w:adjustRightInd w:val="0"/>
        <w:jc w:val="center"/>
        <w:rPr>
          <w:rFonts w:ascii="FlandersArtSans-Regular" w:hAnsi="FlandersArtSans-Regular" w:cs="Tahoma"/>
          <w:sz w:val="16"/>
          <w:szCs w:val="16"/>
          <w:lang w:val="nl-BE"/>
        </w:rPr>
      </w:pPr>
      <w:r>
        <w:rPr>
          <w:rFonts w:ascii="FlandersArtSans-Regular" w:hAnsi="FlandersArtSans-Regular" w:cs="Tahoma"/>
          <w:b/>
          <w:sz w:val="16"/>
          <w:szCs w:val="16"/>
          <w:lang w:val="nl-BE"/>
        </w:rPr>
        <w:t>BRON:</w:t>
      </w:r>
      <w:r>
        <w:rPr>
          <w:rFonts w:ascii="FlandersArtSans-Regular" w:hAnsi="FlandersArtSans-Regular" w:cs="Tahoma"/>
          <w:sz w:val="16"/>
          <w:szCs w:val="16"/>
          <w:lang w:val="nl-BE"/>
        </w:rPr>
        <w:t xml:space="preserve"> Instituut voor de Nationale Rekeningen (NBB), verwerking Cel Kennisopbouw FIT</w:t>
      </w:r>
    </w:p>
    <w:p>
      <w:pPr>
        <w:pStyle w:val="Default"/>
        <w:rPr>
          <w:rFonts w:cs="Tahoma"/>
          <w:i/>
          <w:color w:val="FF0000"/>
          <w:sz w:val="16"/>
          <w:szCs w:val="16"/>
          <w:lang w:val="en-US"/>
        </w:rPr>
      </w:pPr>
      <w:r>
        <w:rPr>
          <w:rFonts w:cs="Tahoma"/>
          <w:b/>
          <w:i/>
          <w:color w:val="auto"/>
          <w:sz w:val="16"/>
          <w:szCs w:val="16"/>
          <w:lang w:val="en-US"/>
        </w:rPr>
        <w:t>N.B.:</w:t>
      </w:r>
      <w:r>
        <w:rPr>
          <w:rFonts w:cs="Tahoma"/>
          <w:i/>
          <w:color w:val="auto"/>
          <w:sz w:val="16"/>
          <w:szCs w:val="16"/>
          <w:lang w:val="en-US"/>
        </w:rPr>
        <w:t xml:space="preserve"> </w:t>
      </w:r>
      <w:r>
        <w:rPr>
          <w:i/>
          <w:color w:val="auto"/>
          <w:sz w:val="16"/>
          <w:lang w:val="en-US"/>
        </w:rPr>
        <w:t>These figures, compiled according to the community concept, are provisional and therefore subject to change. C</w:t>
      </w:r>
      <w:r>
        <w:rPr>
          <w:i/>
          <w:color w:val="auto"/>
          <w:sz w:val="16"/>
          <w:lang w:val="en-GB"/>
        </w:rPr>
        <w:t>ompilation ac</w:t>
      </w:r>
      <w:r>
        <w:rPr>
          <w:i/>
          <w:sz w:val="16"/>
          <w:lang w:val="en-GB"/>
        </w:rPr>
        <w:t xml:space="preserve">cording to the national concept is based on the transfer of ownership between resident and non-resident trade partners, whereas community concept compilation is based on export commodities crossing the country border (and therefore may include significant re-exports or imports for re-export). Intra-community trade aggregates include exports to and imports from the </w:t>
      </w:r>
      <w:r>
        <w:rPr>
          <w:rFonts w:cs="Tahoma"/>
          <w:i/>
          <w:color w:val="auto"/>
          <w:sz w:val="16"/>
          <w:szCs w:val="16"/>
          <w:lang w:val="en-US"/>
        </w:rPr>
        <w:t>27 other EU member states.</w:t>
      </w:r>
    </w:p>
    <w:sectPr>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F73"/>
    <w:multiLevelType w:val="hybridMultilevel"/>
    <w:tmpl w:val="B2945A64"/>
    <w:lvl w:ilvl="0" w:tplc="5066B9F6">
      <w:start w:val="2017"/>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152767F"/>
    <w:multiLevelType w:val="hybridMultilevel"/>
    <w:tmpl w:val="C6BE0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436358"/>
    <w:multiLevelType w:val="hybridMultilevel"/>
    <w:tmpl w:val="F1921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7F4074"/>
    <w:multiLevelType w:val="hybridMultilevel"/>
    <w:tmpl w:val="95C65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8310A6"/>
    <w:multiLevelType w:val="hybridMultilevel"/>
    <w:tmpl w:val="E19E1B64"/>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5" w15:restartNumberingAfterBreak="0">
    <w:nsid w:val="4A17112C"/>
    <w:multiLevelType w:val="hybridMultilevel"/>
    <w:tmpl w:val="6C44D324"/>
    <w:lvl w:ilvl="0" w:tplc="7B027640">
      <w:start w:val="1"/>
      <w:numFmt w:val="bullet"/>
      <w:lvlText w:val=""/>
      <w:lvlJc w:val="left"/>
      <w:pPr>
        <w:ind w:left="720" w:hanging="360"/>
      </w:pPr>
      <w:rPr>
        <w:rFonts w:ascii="Symbol" w:hAnsi="Symbol" w:hint="default"/>
        <w:color w:val="000000" w:themeColor="text1"/>
      </w:rPr>
    </w:lvl>
    <w:lvl w:ilvl="1" w:tplc="9C0270BA">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D927BE"/>
    <w:multiLevelType w:val="hybridMultilevel"/>
    <w:tmpl w:val="AC7EE9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686D85"/>
    <w:multiLevelType w:val="hybridMultilevel"/>
    <w:tmpl w:val="10D2C162"/>
    <w:lvl w:ilvl="0" w:tplc="08090011">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8" w15:restartNumberingAfterBreak="0">
    <w:nsid w:val="66B02B26"/>
    <w:multiLevelType w:val="hybridMultilevel"/>
    <w:tmpl w:val="CC427C5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9646F9D"/>
    <w:multiLevelType w:val="hybridMultilevel"/>
    <w:tmpl w:val="70A60D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4E4A28"/>
    <w:multiLevelType w:val="hybridMultilevel"/>
    <w:tmpl w:val="635ADBC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8"/>
  </w:num>
  <w:num w:numId="7">
    <w:abstractNumId w:val="1"/>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BC8568-F007-4233-926F-D0456D5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ement">
    <w:name w:val="Departement"/>
    <w:qFormat/>
    <w:pPr>
      <w:spacing w:before="280" w:after="540" w:line="288" w:lineRule="exact"/>
    </w:pPr>
    <w:rPr>
      <w:rFonts w:ascii="FlandersArtSans-Regular" w:eastAsia="Times" w:hAnsi="FlandersArtSans-Regular" w:cs="Times New Roman"/>
      <w:caps/>
      <w:sz w:val="24"/>
      <w:szCs w:val="20"/>
      <w:lang w:val="nl-BE" w:eastAsia="nl-BE"/>
    </w:rPr>
  </w:style>
  <w:style w:type="paragraph" w:styleId="NoSpacing">
    <w:name w:val="No Spacing"/>
    <w:link w:val="NoSpacingChar"/>
    <w:uiPriority w:val="1"/>
    <w:qFormat/>
    <w:pPr>
      <w:spacing w:after="0" w:line="240" w:lineRule="auto"/>
    </w:pPr>
    <w:rPr>
      <w:rFonts w:ascii="Calibri" w:eastAsia="Calibri" w:hAnsi="Calibri" w:cs="Times New Roman"/>
      <w:lang w:val="nl-BE"/>
    </w:rPr>
  </w:style>
  <w:style w:type="character" w:customStyle="1" w:styleId="NoSpacingChar">
    <w:name w:val="No Spacing Char"/>
    <w:basedOn w:val="DefaultParagraphFont"/>
    <w:link w:val="NoSpacing"/>
    <w:uiPriority w:val="1"/>
    <w:rPr>
      <w:rFonts w:ascii="Calibri" w:eastAsia="Calibri" w:hAnsi="Calibri" w:cs="Times New Roman"/>
      <w:lang w:val="nl-BE"/>
    </w:rPr>
  </w:style>
  <w:style w:type="paragraph" w:customStyle="1" w:styleId="Default">
    <w:name w:val="Default"/>
    <w:pPr>
      <w:autoSpaceDE w:val="0"/>
      <w:autoSpaceDN w:val="0"/>
      <w:adjustRightInd w:val="0"/>
      <w:spacing w:after="0" w:line="240" w:lineRule="auto"/>
    </w:pPr>
    <w:rPr>
      <w:rFonts w:ascii="FlandersArtSans-Regular" w:hAnsi="FlandersArtSans-Regular" w:cs="FlandersArtSans-Regular"/>
      <w:color w:val="000000"/>
      <w:sz w:val="24"/>
      <w:szCs w:val="24"/>
      <w:lang w:val="nl-BE"/>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02497">
      <w:bodyDiv w:val="1"/>
      <w:marLeft w:val="0"/>
      <w:marRight w:val="0"/>
      <w:marTop w:val="0"/>
      <w:marBottom w:val="0"/>
      <w:divBdr>
        <w:top w:val="none" w:sz="0" w:space="0" w:color="auto"/>
        <w:left w:val="none" w:sz="0" w:space="0" w:color="auto"/>
        <w:bottom w:val="none" w:sz="0" w:space="0" w:color="auto"/>
        <w:right w:val="none" w:sz="0" w:space="0" w:color="auto"/>
      </w:divBdr>
    </w:div>
    <w:div w:id="1587573736">
      <w:bodyDiv w:val="1"/>
      <w:marLeft w:val="0"/>
      <w:marRight w:val="0"/>
      <w:marTop w:val="0"/>
      <w:marBottom w:val="0"/>
      <w:divBdr>
        <w:top w:val="none" w:sz="0" w:space="0" w:color="auto"/>
        <w:left w:val="none" w:sz="0" w:space="0" w:color="auto"/>
        <w:bottom w:val="none" w:sz="0" w:space="0" w:color="auto"/>
        <w:right w:val="none" w:sz="0" w:space="0" w:color="auto"/>
      </w:divBdr>
    </w:div>
    <w:div w:id="1776437933">
      <w:bodyDiv w:val="1"/>
      <w:marLeft w:val="0"/>
      <w:marRight w:val="0"/>
      <w:marTop w:val="0"/>
      <w:marBottom w:val="0"/>
      <w:divBdr>
        <w:top w:val="none" w:sz="0" w:space="0" w:color="auto"/>
        <w:left w:val="none" w:sz="0" w:space="0" w:color="auto"/>
        <w:bottom w:val="none" w:sz="0" w:space="0" w:color="auto"/>
        <w:right w:val="none" w:sz="0" w:space="0" w:color="auto"/>
      </w:divBdr>
    </w:div>
    <w:div w:id="1851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srvfp1\FinancienIT\Kennisbeheer\NC%20&amp;%20CC%202017\20180319%20-%20Grafieken_invoer_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p1\FinancienIT\Kennisbeheer\NC%20&amp;%20CC%202017\GRAFIEKEN%20en%20DIAGRAMMEN%20voor%20Q-analyses\GRAFIEKEN%20ENGELS\Flemish%20imports%20top%2010%20import%20commodities%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fp1\FinancienIT\Kennisbeheer\NC%20&amp;%20CC%202017\GRAFIEKEN%20en%20DIAGRAMMEN%20voor%20Q-analyses\GRAFIEKEN%20ENGELS\Flemish%20imports%20top%2010%20import%20commodities%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vfp1\FinancienIT\Kennisbeheer\NC%20&amp;%20CC%202017\GRAFIEKEN%20en%20DIAGRAMMEN%20voor%20Q-analyses\GRAFIEKEN%20ENGELS\Flemish%20imports%20top%2010%20import%20commodities%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rvfp1\FinancienIT\Kennisbeheer\NC%20&amp;%20CC%202017\GRAFIEKEN%20en%20DIAGRAMMEN%20voor%20Q-analyses\GRAFIEKEN%20ENGELS\Flemish%20imports%20top%2010%20import%20commodities%20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rvfp1\FinancienIT\Kennisbeheer\NC%20&amp;%20CC%202017\20180319%20-%20Grafieken_invoer_2017.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1">
                <a:solidFill>
                  <a:sysClr val="windowText" lastClr="000000"/>
                </a:solidFill>
                <a:latin typeface="FlandersArtSans-Regular" panose="00000500000000000000" pitchFamily="2" charset="0"/>
              </a:rPr>
              <a:t>2017: top</a:t>
            </a:r>
            <a:r>
              <a:rPr lang="en-US" b="1" baseline="0">
                <a:solidFill>
                  <a:sysClr val="windowText" lastClr="000000"/>
                </a:solidFill>
                <a:latin typeface="FlandersArtSans-Regular" panose="00000500000000000000" pitchFamily="2" charset="0"/>
              </a:rPr>
              <a:t> </a:t>
            </a:r>
            <a:r>
              <a:rPr lang="en-US" b="1">
                <a:solidFill>
                  <a:sysClr val="windowText" lastClr="000000"/>
                </a:solidFill>
                <a:latin typeface="FlandersArtSans-Regular" panose="00000500000000000000" pitchFamily="2" charset="0"/>
              </a:rPr>
              <a:t>10 highest value </a:t>
            </a:r>
            <a:r>
              <a:rPr lang="en-US" b="1" baseline="0">
                <a:solidFill>
                  <a:sysClr val="windowText" lastClr="000000"/>
                </a:solidFill>
                <a:latin typeface="FlandersArtSans-Regular" panose="00000500000000000000" pitchFamily="2" charset="0"/>
              </a:rPr>
              <a:t>growth exports by country </a:t>
            </a:r>
            <a:endParaRPr lang="en-US" b="1">
              <a:solidFill>
                <a:sysClr val="windowText" lastClr="000000"/>
              </a:solidFill>
              <a:latin typeface="FlandersArtSans-Regular" panose="00000500000000000000" pitchFamily="2" charset="0"/>
            </a:endParaRPr>
          </a:p>
          <a:p>
            <a:pPr>
              <a:defRPr>
                <a:latin typeface="FlandersArtSans-Regular" panose="00000500000000000000" pitchFamily="2" charset="0"/>
              </a:defRPr>
            </a:pPr>
            <a:r>
              <a:rPr lang="en-US" sz="600">
                <a:solidFill>
                  <a:sysClr val="windowText" lastClr="000000"/>
                </a:solidFill>
                <a:latin typeface="FlandersArtSans-Regular" panose="00000500000000000000" pitchFamily="2" charset="0"/>
              </a:rPr>
              <a:t>(rank as an export</a:t>
            </a:r>
            <a:r>
              <a:rPr lang="en-US" sz="600" baseline="0">
                <a:solidFill>
                  <a:sysClr val="windowText" lastClr="000000"/>
                </a:solidFill>
                <a:latin typeface="FlandersArtSans-Regular" panose="00000500000000000000" pitchFamily="2" charset="0"/>
              </a:rPr>
              <a:t> market </a:t>
            </a:r>
            <a:r>
              <a:rPr lang="en-US" sz="600">
                <a:solidFill>
                  <a:sysClr val="windowText" lastClr="000000"/>
                </a:solidFill>
                <a:latin typeface="FlandersArtSans-Regular" panose="00000500000000000000" pitchFamily="2" charset="0"/>
              </a:rPr>
              <a:t>; </a:t>
            </a:r>
            <a:r>
              <a:rPr lang="en-US" sz="600" b="0" i="0" u="none" strike="noStrike" kern="1200" spc="0" baseline="0">
                <a:solidFill>
                  <a:sysClr val="windowText" lastClr="000000"/>
                </a:solidFill>
                <a:latin typeface="FlandersArtSans-Regular" panose="00000500000000000000" pitchFamily="2" charset="0"/>
                <a:ea typeface="+mn-ea"/>
                <a:cs typeface="+mn-cs"/>
              </a:rPr>
              <a:t>EUR million value </a:t>
            </a:r>
            <a:r>
              <a:rPr lang="en-US" sz="600">
                <a:solidFill>
                  <a:sysClr val="windowText" lastClr="000000"/>
                </a:solidFill>
                <a:latin typeface="FlandersArtSans-Regular" panose="00000500000000000000" pitchFamily="2" charset="0"/>
              </a:rPr>
              <a:t>increase; </a:t>
            </a:r>
            <a:r>
              <a:rPr lang="en-US" sz="600" b="0" i="0" u="none" strike="noStrike" kern="1200" spc="0" baseline="0">
                <a:solidFill>
                  <a:sysClr val="windowText" lastClr="000000"/>
                </a:solidFill>
                <a:latin typeface="FlandersArtSans-Regular" panose="00000500000000000000" pitchFamily="2" charset="0"/>
                <a:ea typeface="+mn-ea"/>
                <a:cs typeface="+mn-cs"/>
              </a:rPr>
              <a:t> </a:t>
            </a:r>
            <a:r>
              <a:rPr lang="en-US" sz="600">
                <a:solidFill>
                  <a:sysClr val="windowText" lastClr="000000"/>
                </a:solidFill>
                <a:latin typeface="FlandersArtSans-Regular" panose="00000500000000000000" pitchFamily="2" charset="0"/>
              </a:rPr>
              <a:t>% change</a:t>
            </a:r>
            <a:r>
              <a:rPr lang="en-US" sz="600" baseline="0">
                <a:solidFill>
                  <a:sysClr val="windowText" lastClr="000000"/>
                </a:solidFill>
                <a:latin typeface="FlandersArtSans-Regular" panose="00000500000000000000" pitchFamily="2" charset="0"/>
              </a:rPr>
              <a:t> year-on-year)</a:t>
            </a:r>
            <a:endParaRPr lang="en-US" sz="600">
              <a:solidFill>
                <a:sysClr val="windowText" lastClr="000000"/>
              </a:solidFill>
              <a:latin typeface="FlandersArtSans-Regular" panose="00000500000000000000" pitchFamily="2" charset="0"/>
            </a:endParaRPr>
          </a:p>
        </c:rich>
      </c:tx>
      <c:layout>
        <c:manualLayout>
          <c:xMode val="edge"/>
          <c:yMode val="edge"/>
          <c:x val="0.22537784809929065"/>
          <c:y val="2.21602341973498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manualLayout>
          <c:layoutTarget val="inner"/>
          <c:xMode val="edge"/>
          <c:yMode val="edge"/>
          <c:x val="0.18049411067701721"/>
          <c:y val="0.10266187285380965"/>
          <c:w val="0.72019548476244644"/>
          <c:h val="0.81107792312225224"/>
        </c:manualLayout>
      </c:layout>
      <c:barChart>
        <c:barDir val="bar"/>
        <c:grouping val="clustered"/>
        <c:varyColors val="0"/>
        <c:ser>
          <c:idx val="0"/>
          <c:order val="0"/>
          <c:tx>
            <c:strRef>
              <c:f>'stijgers vlaamse uitvoer 2017'!$B$1</c:f>
              <c:strCache>
                <c:ptCount val="1"/>
                <c:pt idx="0">
                  <c:v>2017</c:v>
                </c:pt>
              </c:strCache>
            </c:strRef>
          </c:tx>
          <c:spPr>
            <a:solidFill>
              <a:schemeClr val="accent1"/>
            </a:solidFill>
            <a:ln>
              <a:noFill/>
            </a:ln>
            <a:effectLst/>
            <a:scene3d>
              <a:camera prst="orthographicFront"/>
              <a:lightRig rig="threePt" dir="t"/>
            </a:scene3d>
            <a:sp3d>
              <a:bevelT/>
            </a:sp3d>
          </c:spPr>
          <c:invertIfNegative val="0"/>
          <c:dLbls>
            <c:dLbl>
              <c:idx val="0"/>
              <c:tx>
                <c:rich>
                  <a:bodyPr/>
                  <a:lstStyle/>
                  <a:p>
                    <a:r>
                      <a:rPr lang="en-US"/>
                      <a:t>+9,02%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EF-4499-B736-FBBE391F71EF}"/>
                </c:ext>
              </c:extLst>
            </c:dLbl>
            <c:dLbl>
              <c:idx val="1"/>
              <c:tx>
                <c:rich>
                  <a:bodyPr/>
                  <a:lstStyle/>
                  <a:p>
                    <a:r>
                      <a:rPr lang="en-US"/>
                      <a:t>+32,02%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EF-4499-B736-FBBE391F71EF}"/>
                </c:ext>
              </c:extLst>
            </c:dLbl>
            <c:dLbl>
              <c:idx val="2"/>
              <c:tx>
                <c:rich>
                  <a:bodyPr/>
                  <a:lstStyle/>
                  <a:p>
                    <a:r>
                      <a:rPr lang="en-US"/>
                      <a:t>+8,30%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EF-4499-B736-FBBE391F71EF}"/>
                </c:ext>
              </c:extLst>
            </c:dLbl>
            <c:dLbl>
              <c:idx val="3"/>
              <c:tx>
                <c:rich>
                  <a:bodyPr/>
                  <a:lstStyle/>
                  <a:p>
                    <a:r>
                      <a:rPr lang="en-US"/>
                      <a:t>+10,84%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EF-4499-B736-FBBE391F71EF}"/>
                </c:ext>
              </c:extLst>
            </c:dLbl>
            <c:dLbl>
              <c:idx val="4"/>
              <c:tx>
                <c:rich>
                  <a:bodyPr/>
                  <a:lstStyle/>
                  <a:p>
                    <a:r>
                      <a:rPr lang="en-US"/>
                      <a:t>+18,90%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EF-4499-B736-FBBE391F71EF}"/>
                </c:ext>
              </c:extLst>
            </c:dLbl>
            <c:dLbl>
              <c:idx val="5"/>
              <c:tx>
                <c:rich>
                  <a:bodyPr/>
                  <a:lstStyle/>
                  <a:p>
                    <a:r>
                      <a:rPr lang="en-US"/>
                      <a:t>+40,44%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EF-4499-B736-FBBE391F71EF}"/>
                </c:ext>
              </c:extLst>
            </c:dLbl>
            <c:dLbl>
              <c:idx val="6"/>
              <c:tx>
                <c:rich>
                  <a:bodyPr/>
                  <a:lstStyle/>
                  <a:p>
                    <a:r>
                      <a:rPr lang="en-US"/>
                      <a:t>+15,56%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EF-4499-B736-FBBE391F71EF}"/>
                </c:ext>
              </c:extLst>
            </c:dLbl>
            <c:dLbl>
              <c:idx val="7"/>
              <c:tx>
                <c:rich>
                  <a:bodyPr/>
                  <a:lstStyle/>
                  <a:p>
                    <a:r>
                      <a:rPr lang="en-US"/>
                      <a:t>+22,24%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EF-4499-B736-FBBE391F71EF}"/>
                </c:ext>
              </c:extLst>
            </c:dLbl>
            <c:dLbl>
              <c:idx val="8"/>
              <c:tx>
                <c:rich>
                  <a:bodyPr/>
                  <a:lstStyle/>
                  <a:p>
                    <a:r>
                      <a:rPr lang="en-US"/>
                      <a:t>+4,48%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EF-4499-B736-FBBE391F71EF}"/>
                </c:ext>
              </c:extLst>
            </c:dLbl>
            <c:dLbl>
              <c:idx val="9"/>
              <c:tx>
                <c:rich>
                  <a:bodyPr/>
                  <a:lstStyle/>
                  <a:p>
                    <a:r>
                      <a:rPr lang="en-US"/>
                      <a:t>+13,72%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EF-4499-B736-FBBE391F71EF}"/>
                </c:ext>
              </c:extLst>
            </c:dLbl>
            <c:spPr>
              <a:noFill/>
              <a:ln>
                <a:noFill/>
              </a:ln>
              <a:effectLst/>
            </c:spPr>
            <c:txPr>
              <a:bodyPr rot="0" spcFirstLastPara="1" vertOverflow="ellipsis" vert="horz" wrap="square" lIns="38100" tIns="19050" rIns="38100" bIns="19050" anchor="ctr" anchorCtr="0">
                <a:spAutoFit/>
              </a:bodyPr>
              <a:lstStyle/>
              <a:p>
                <a:pPr algn="ctr">
                  <a:defRPr lang="nl-BE" sz="9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'stijgers vlaamse uitvoer 2017'!$A$2:$A$11</c:f>
              <c:strCache>
                <c:ptCount val="10"/>
                <c:pt idx="0">
                  <c:v>(11) Sweden</c:v>
                </c:pt>
                <c:pt idx="1">
                  <c:v>(22) Nigeria</c:v>
                </c:pt>
                <c:pt idx="2">
                  <c:v>(7) Spain</c:v>
                </c:pt>
                <c:pt idx="3">
                  <c:v>(10) Poland</c:v>
                </c:pt>
                <c:pt idx="4">
                  <c:v>(13) Turkey</c:v>
                </c:pt>
                <c:pt idx="5">
                  <c:v>(18) Brazil</c:v>
                </c:pt>
                <c:pt idx="6">
                  <c:v>(9) China</c:v>
                </c:pt>
                <c:pt idx="7">
                  <c:v>(12) Switzerland</c:v>
                </c:pt>
                <c:pt idx="8">
                  <c:v>(1) Germany</c:v>
                </c:pt>
                <c:pt idx="9">
                  <c:v>(2) the Netherlands</c:v>
                </c:pt>
              </c:strCache>
            </c:strRef>
          </c:cat>
          <c:val>
            <c:numRef>
              <c:f>'stijgers vlaamse uitvoer 2017'!$B$2:$B$11</c:f>
              <c:numCache>
                <c:formatCode>[$-10407]#,##0;\(#,##0\)</c:formatCode>
                <c:ptCount val="10"/>
                <c:pt idx="0">
                  <c:v>485.52866796000023</c:v>
                </c:pt>
                <c:pt idx="1">
                  <c:v>580.95951032999972</c:v>
                </c:pt>
                <c:pt idx="2">
                  <c:v>622.84544283000002</c:v>
                </c:pt>
                <c:pt idx="3">
                  <c:v>643.33114752999973</c:v>
                </c:pt>
                <c:pt idx="4">
                  <c:v>775.73537899000007</c:v>
                </c:pt>
                <c:pt idx="5">
                  <c:v>857.57967596000015</c:v>
                </c:pt>
                <c:pt idx="6">
                  <c:v>989.5877426899998</c:v>
                </c:pt>
                <c:pt idx="7">
                  <c:v>1047.3998861700009</c:v>
                </c:pt>
                <c:pt idx="8">
                  <c:v>2283.415895460002</c:v>
                </c:pt>
                <c:pt idx="9">
                  <c:v>4799.7222812900018</c:v>
                </c:pt>
              </c:numCache>
            </c:numRef>
          </c:val>
          <c:extLst>
            <c:ext xmlns:c16="http://schemas.microsoft.com/office/drawing/2014/chart" uri="{C3380CC4-5D6E-409C-BE32-E72D297353CC}">
              <c16:uniqueId val="{0000000A-60EF-4499-B736-FBBE391F71EF}"/>
            </c:ext>
          </c:extLst>
        </c:ser>
        <c:dLbls>
          <c:showLegendKey val="0"/>
          <c:showVal val="0"/>
          <c:showCatName val="0"/>
          <c:showSerName val="0"/>
          <c:showPercent val="0"/>
          <c:showBubbleSize val="0"/>
        </c:dLbls>
        <c:gapWidth val="40"/>
        <c:axId val="251126911"/>
        <c:axId val="245463183"/>
      </c:barChart>
      <c:catAx>
        <c:axId val="251126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245463183"/>
        <c:crosses val="autoZero"/>
        <c:auto val="1"/>
        <c:lblAlgn val="ctr"/>
        <c:lblOffset val="100"/>
        <c:noMultiLvlLbl val="0"/>
      </c:catAx>
      <c:valAx>
        <c:axId val="245463183"/>
        <c:scaling>
          <c:orientation val="minMax"/>
          <c:max val="4800"/>
        </c:scaling>
        <c:delete val="0"/>
        <c:axPos val="b"/>
        <c:majorGridlines>
          <c:spPr>
            <a:ln w="9525" cap="flat" cmpd="sng" algn="ctr">
              <a:solidFill>
                <a:schemeClr val="tx1">
                  <a:lumMod val="15000"/>
                  <a:lumOff val="85000"/>
                </a:schemeClr>
              </a:solidFill>
              <a:round/>
            </a:ln>
            <a:effectLst/>
          </c:spPr>
        </c:majorGridlines>
        <c:numFmt formatCode="[$-10407]#,##0;\(#,##0\)" sourceLinked="1"/>
        <c:majorTickMark val="none"/>
        <c:minorTickMark val="none"/>
        <c:tickLblPos val="nextTo"/>
        <c:spPr>
          <a:noFill/>
          <a:ln>
            <a:noFill/>
          </a:ln>
          <a:effectLst/>
        </c:spPr>
        <c:txPr>
          <a:bodyPr rot="-60000000" spcFirstLastPara="1" vertOverflow="ellipsis" vert="horz" wrap="square" anchor="ctr" anchorCtr="1"/>
          <a:lstStyle/>
          <a:p>
            <a:pPr algn="ctr">
              <a:defRPr lang="nl-BE" sz="9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251126911"/>
        <c:crosses val="autoZero"/>
        <c:crossBetween val="between"/>
        <c:majorUnit val="4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kern="1200" spc="0" baseline="0">
                <a:solidFill>
                  <a:sysClr val="windowText" lastClr="000000"/>
                </a:solidFill>
                <a:latin typeface="FlandersArtSans-Medium" panose="00000600000000000000" pitchFamily="2" charset="0"/>
                <a:ea typeface="+mn-ea"/>
                <a:cs typeface="+mn-cs"/>
              </a:rPr>
              <a:t>2017: top 10 Flemish supplier countries </a:t>
            </a:r>
          </a:p>
          <a:p>
            <a:pPr>
              <a:defRPr/>
            </a:pPr>
            <a:r>
              <a:rPr lang="nl-BE" sz="900" b="0">
                <a:solidFill>
                  <a:sysClr val="windowText" lastClr="000000"/>
                </a:solidFill>
                <a:latin typeface="FlandersArtSans-Medium" panose="00000600000000000000" pitchFamily="2" charset="0"/>
              </a:rPr>
              <a:t>(rank as</a:t>
            </a:r>
            <a:r>
              <a:rPr lang="nl-BE" sz="900" b="0" baseline="0">
                <a:solidFill>
                  <a:sysClr val="windowText" lastClr="000000"/>
                </a:solidFill>
                <a:latin typeface="FlandersArtSans-Medium" panose="00000600000000000000" pitchFamily="2" charset="0"/>
              </a:rPr>
              <a:t> a supplier country;</a:t>
            </a:r>
            <a:r>
              <a:rPr lang="nl-BE" sz="900" b="0">
                <a:solidFill>
                  <a:sysClr val="windowText" lastClr="000000"/>
                </a:solidFill>
                <a:latin typeface="FlandersArtSans-Medium" panose="00000600000000000000" pitchFamily="2" charset="0"/>
              </a:rPr>
              <a:t> x EUR billion; % change year-on-year)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'top 10 supplier countries 2017'!$B$1</c:f>
              <c:strCache>
                <c:ptCount val="1"/>
                <c:pt idx="0">
                  <c:v>2017</c:v>
                </c:pt>
              </c:strCache>
            </c:strRef>
          </c:tx>
          <c:spPr>
            <a:solidFill>
              <a:schemeClr val="accent1"/>
            </a:solidFill>
            <a:ln>
              <a:noFill/>
            </a:ln>
            <a:effectLst/>
            <a:scene3d>
              <a:camera prst="orthographicFront"/>
              <a:lightRig rig="threePt" dir="t"/>
            </a:scene3d>
            <a:sp3d>
              <a:bevelT/>
            </a:sp3d>
          </c:spPr>
          <c:invertIfNegative val="0"/>
          <c:dLbls>
            <c:dLbl>
              <c:idx val="0"/>
              <c:tx>
                <c:rich>
                  <a:bodyPr/>
                  <a:lstStyle/>
                  <a:p>
                    <a:r>
                      <a:rPr lang="en-US">
                        <a:solidFill>
                          <a:srgbClr val="FF0000"/>
                        </a:solidFill>
                      </a:rPr>
                      <a:t>-1,87%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09-4CAB-89D3-58B82C11F075}"/>
                </c:ext>
              </c:extLst>
            </c:dLbl>
            <c:dLbl>
              <c:idx val="1"/>
              <c:tx>
                <c:rich>
                  <a:bodyPr/>
                  <a:lstStyle/>
                  <a:p>
                    <a:r>
                      <a:rPr lang="en-US"/>
                      <a:t>+4,88%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09-4CAB-89D3-58B82C11F075}"/>
                </c:ext>
              </c:extLst>
            </c:dLbl>
            <c:dLbl>
              <c:idx val="2"/>
              <c:tx>
                <c:rich>
                  <a:bodyPr/>
                  <a:lstStyle/>
                  <a:p>
                    <a:r>
                      <a:rPr lang="en-US"/>
                      <a:t>+22,78%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09-4CAB-89D3-58B82C11F075}"/>
                </c:ext>
              </c:extLst>
            </c:dLbl>
            <c:dLbl>
              <c:idx val="3"/>
              <c:tx>
                <c:rich>
                  <a:bodyPr/>
                  <a:lstStyle/>
                  <a:p>
                    <a:r>
                      <a:rPr lang="en-US">
                        <a:solidFill>
                          <a:srgbClr val="FF0000"/>
                        </a:solidFill>
                      </a:rPr>
                      <a:t>-5,59%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09-4CAB-89D3-58B82C11F075}"/>
                </c:ext>
              </c:extLst>
            </c:dLbl>
            <c:dLbl>
              <c:idx val="4"/>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09-4CAB-89D3-58B82C11F075}"/>
                </c:ext>
              </c:extLst>
            </c:dLbl>
            <c:dLbl>
              <c:idx val="5"/>
              <c:tx>
                <c:rich>
                  <a:bodyPr/>
                  <a:lstStyle/>
                  <a:p>
                    <a:r>
                      <a:rPr lang="en-US"/>
                      <a:t>+6,92%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09-4CAB-89D3-58B82C11F075}"/>
                </c:ext>
              </c:extLst>
            </c:dLbl>
            <c:dLbl>
              <c:idx val="6"/>
              <c:tx>
                <c:rich>
                  <a:bodyPr/>
                  <a:lstStyle/>
                  <a:p>
                    <a:r>
                      <a:rPr lang="en-US">
                        <a:solidFill>
                          <a:srgbClr val="FF0000"/>
                        </a:solidFill>
                      </a:rPr>
                      <a:t>-7,20%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09-4CAB-89D3-58B82C11F075}"/>
                </c:ext>
              </c:extLst>
            </c:dLbl>
            <c:dLbl>
              <c:idx val="7"/>
              <c:tx>
                <c:rich>
                  <a:bodyPr/>
                  <a:lstStyle/>
                  <a:p>
                    <a:r>
                      <a:rPr lang="en-US"/>
                      <a:t>+5,05%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09-4CAB-89D3-58B82C11F075}"/>
                </c:ext>
              </c:extLst>
            </c:dLbl>
            <c:dLbl>
              <c:idx val="8"/>
              <c:tx>
                <c:rich>
                  <a:bodyPr/>
                  <a:lstStyle/>
                  <a:p>
                    <a:r>
                      <a:rPr lang="en-US">
                        <a:solidFill>
                          <a:srgbClr val="FF0000"/>
                        </a:solidFill>
                      </a:rPr>
                      <a:t>-6,08%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09-4CAB-89D3-58B82C11F075}"/>
                </c:ext>
              </c:extLst>
            </c:dLbl>
            <c:dLbl>
              <c:idx val="9"/>
              <c:tx>
                <c:rich>
                  <a:bodyPr rot="0" spcFirstLastPara="1" vertOverflow="ellipsis" vert="horz" wrap="square" lIns="38100" tIns="19050" rIns="38100" bIns="19050" anchor="ctr" anchorCtr="0">
                    <a:spAutoFit/>
                  </a:bodyPr>
                  <a:lstStyle/>
                  <a:p>
                    <a:pPr algn="ctr">
                      <a:defRPr lang="nl-BE" sz="1000" b="0" i="0" u="none" strike="noStrike" kern="1200" baseline="0">
                        <a:solidFill>
                          <a:schemeClr val="bg1"/>
                        </a:solidFill>
                        <a:latin typeface="FlandersArtSans-Medium" panose="00000600000000000000" pitchFamily="2" charset="0"/>
                        <a:ea typeface="+mn-ea"/>
                        <a:cs typeface="+mn-cs"/>
                      </a:defRPr>
                    </a:pPr>
                    <a:r>
                      <a:rPr lang="en-US">
                        <a:solidFill>
                          <a:schemeClr val="bg1"/>
                        </a:solidFill>
                      </a:rPr>
                      <a:t>+9,71%</a:t>
                    </a:r>
                  </a:p>
                </c:rich>
              </c:tx>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chemeClr val="bg1"/>
                      </a:solidFill>
                      <a:latin typeface="FlandersArtSans-Medium" panose="00000600000000000000" pitchFamily="2" charset="0"/>
                      <a:ea typeface="+mn-ea"/>
                      <a:cs typeface="+mn-cs"/>
                    </a:defRPr>
                  </a:pPr>
                  <a:endParaRPr lang="nl-BE"/>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09-4CAB-89D3-58B82C11F075}"/>
                </c:ext>
              </c:extLst>
            </c:dLbl>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10 supplier countries 2017'!$A$2:$A$11</c:f>
              <c:strCache>
                <c:ptCount val="10"/>
                <c:pt idx="0">
                  <c:v>(10) Italy</c:v>
                </c:pt>
                <c:pt idx="1">
                  <c:v>(9) Japan</c:v>
                </c:pt>
                <c:pt idx="2">
                  <c:v>(8) Russia</c:v>
                </c:pt>
                <c:pt idx="3">
                  <c:v>(7) Ireland</c:v>
                </c:pt>
                <c:pt idx="4">
                  <c:v>(6) China</c:v>
                </c:pt>
                <c:pt idx="5">
                  <c:v>(5) United Kingdom</c:v>
                </c:pt>
                <c:pt idx="6">
                  <c:v>(4) United States</c:v>
                </c:pt>
                <c:pt idx="7">
                  <c:v>(3) France</c:v>
                </c:pt>
                <c:pt idx="8">
                  <c:v>(2) Germany</c:v>
                </c:pt>
                <c:pt idx="9">
                  <c:v>(1) the Netherlands</c:v>
                </c:pt>
              </c:strCache>
            </c:strRef>
          </c:cat>
          <c:val>
            <c:numRef>
              <c:f>'top 10 supplier countries 2017'!$B$2:$B$11</c:f>
              <c:numCache>
                <c:formatCode>[$-10407]#,##0;\(#,##0\)</c:formatCode>
                <c:ptCount val="10"/>
                <c:pt idx="0">
                  <c:v>8.3740145051799999</c:v>
                </c:pt>
                <c:pt idx="1">
                  <c:v>8.4375404935800002</c:v>
                </c:pt>
                <c:pt idx="2">
                  <c:v>8.454103193369999</c:v>
                </c:pt>
                <c:pt idx="3">
                  <c:v>12.09656781745</c:v>
                </c:pt>
                <c:pt idx="4">
                  <c:v>13.18125549112</c:v>
                </c:pt>
                <c:pt idx="5">
                  <c:v>15.23760815993</c:v>
                </c:pt>
                <c:pt idx="6">
                  <c:v>22.502626563740002</c:v>
                </c:pt>
                <c:pt idx="7">
                  <c:v>24.45553821623</c:v>
                </c:pt>
                <c:pt idx="8">
                  <c:v>35.254365047589999</c:v>
                </c:pt>
                <c:pt idx="9">
                  <c:v>53.633373304020004</c:v>
                </c:pt>
              </c:numCache>
            </c:numRef>
          </c:val>
          <c:extLst>
            <c:ext xmlns:c16="http://schemas.microsoft.com/office/drawing/2014/chart" uri="{C3380CC4-5D6E-409C-BE32-E72D297353CC}">
              <c16:uniqueId val="{0000000A-6509-4CAB-89D3-58B82C11F075}"/>
            </c:ext>
          </c:extLst>
        </c:ser>
        <c:dLbls>
          <c:showLegendKey val="0"/>
          <c:showVal val="0"/>
          <c:showCatName val="0"/>
          <c:showSerName val="0"/>
          <c:showPercent val="0"/>
          <c:showBubbleSize val="0"/>
        </c:dLbls>
        <c:gapWidth val="40"/>
        <c:axId val="1220124256"/>
        <c:axId val="1130108416"/>
      </c:barChart>
      <c:catAx>
        <c:axId val="1220124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1130108416"/>
        <c:crosses val="autoZero"/>
        <c:auto val="1"/>
        <c:lblAlgn val="ctr"/>
        <c:lblOffset val="100"/>
        <c:noMultiLvlLbl val="0"/>
      </c:catAx>
      <c:valAx>
        <c:axId val="1130108416"/>
        <c:scaling>
          <c:orientation val="minMax"/>
          <c:max val="55"/>
        </c:scaling>
        <c:delete val="0"/>
        <c:axPos val="b"/>
        <c:majorGridlines>
          <c:spPr>
            <a:ln w="9525" cap="flat" cmpd="sng" algn="ctr">
              <a:solidFill>
                <a:schemeClr val="tx1">
                  <a:lumMod val="15000"/>
                  <a:lumOff val="85000"/>
                </a:schemeClr>
              </a:solidFill>
              <a:round/>
            </a:ln>
            <a:effectLst/>
          </c:spPr>
        </c:majorGridlines>
        <c:numFmt formatCode="[$-10407]#,##0;\(#,##0\)" sourceLinked="1"/>
        <c:majorTickMark val="none"/>
        <c:minorTickMark val="none"/>
        <c:tickLblPos val="nextTo"/>
        <c:spPr>
          <a:noFill/>
          <a:ln>
            <a:noFill/>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1220124256"/>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0">
                <a:latin typeface="FlandersArtSans-Medium" panose="00000600000000000000" pitchFamily="2" charset="0"/>
              </a:rPr>
              <a:t>2017: top 10 Flemish trading partners</a:t>
            </a:r>
          </a:p>
          <a:p>
            <a:pPr>
              <a:defRPr>
                <a:latin typeface="FlandersArtSans-Regular" panose="00000500000000000000" pitchFamily="2" charset="0"/>
              </a:defRPr>
            </a:pPr>
            <a:r>
              <a:rPr lang="en-US" sz="800">
                <a:solidFill>
                  <a:sysClr val="windowText" lastClr="000000"/>
                </a:solidFill>
                <a:latin typeface="FlandersArtSans-Regular" panose="00000500000000000000" pitchFamily="2" charset="0"/>
              </a:rPr>
              <a:t>(imports and exports</a:t>
            </a:r>
            <a:r>
              <a:rPr lang="en-US" sz="800" baseline="0">
                <a:solidFill>
                  <a:sysClr val="windowText" lastClr="000000"/>
                </a:solidFill>
                <a:latin typeface="FlandersArtSans-Regular" panose="00000500000000000000" pitchFamily="2" charset="0"/>
              </a:rPr>
              <a:t> combined / x EUR billion</a:t>
            </a:r>
            <a:r>
              <a:rPr lang="en-US" sz="800">
                <a:solidFill>
                  <a:sysClr val="windowText" lastClr="000000"/>
                </a:solidFill>
                <a:latin typeface="FlandersArtSans-Regular" panose="00000500000000000000" pitchFamily="2"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barChart>
        <c:barDir val="bar"/>
        <c:grouping val="clustered"/>
        <c:varyColors val="0"/>
        <c:ser>
          <c:idx val="0"/>
          <c:order val="0"/>
          <c:tx>
            <c:strRef>
              <c:f>Sheet10!$B$1</c:f>
              <c:strCache>
                <c:ptCount val="1"/>
                <c:pt idx="0">
                  <c:v>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Sheet10!$A$2:$A$11</c:f>
              <c:strCache>
                <c:ptCount val="10"/>
                <c:pt idx="0">
                  <c:v>(10) Sweden</c:v>
                </c:pt>
                <c:pt idx="1">
                  <c:v>(9) Ireland</c:v>
                </c:pt>
                <c:pt idx="2">
                  <c:v>(8) Spain</c:v>
                </c:pt>
                <c:pt idx="3">
                  <c:v>(7) China</c:v>
                </c:pt>
                <c:pt idx="4">
                  <c:v>(6) Italy</c:v>
                </c:pt>
                <c:pt idx="5">
                  <c:v>(5) United States</c:v>
                </c:pt>
                <c:pt idx="6">
                  <c:v>(4) United Kingdom</c:v>
                </c:pt>
                <c:pt idx="7">
                  <c:v>(3) France</c:v>
                </c:pt>
                <c:pt idx="8">
                  <c:v>(2) Germany</c:v>
                </c:pt>
                <c:pt idx="9">
                  <c:v>(1) The Netherlands</c:v>
                </c:pt>
              </c:strCache>
            </c:strRef>
          </c:cat>
          <c:val>
            <c:numRef>
              <c:f>Sheet10!$B$2:$B$11</c:f>
              <c:numCache>
                <c:formatCode>[$-10407]#,##0.00;\(#,##0.00\)</c:formatCode>
                <c:ptCount val="10"/>
                <c:pt idx="0">
                  <c:v>12.78341882628</c:v>
                </c:pt>
                <c:pt idx="1">
                  <c:v>13.80737563828</c:v>
                </c:pt>
                <c:pt idx="2">
                  <c:v>15.43750393084</c:v>
                </c:pt>
                <c:pt idx="3">
                  <c:v>20.530579655739999</c:v>
                </c:pt>
                <c:pt idx="4">
                  <c:v>23.913629588830002</c:v>
                </c:pt>
                <c:pt idx="5">
                  <c:v>37.78130081194</c:v>
                </c:pt>
                <c:pt idx="6">
                  <c:v>43.112985706869999</c:v>
                </c:pt>
                <c:pt idx="7">
                  <c:v>63.741567312739996</c:v>
                </c:pt>
                <c:pt idx="8">
                  <c:v>88.477687085370007</c:v>
                </c:pt>
                <c:pt idx="9">
                  <c:v>93.422479876840001</c:v>
                </c:pt>
              </c:numCache>
            </c:numRef>
          </c:val>
          <c:extLst>
            <c:ext xmlns:c16="http://schemas.microsoft.com/office/drawing/2014/chart" uri="{C3380CC4-5D6E-409C-BE32-E72D297353CC}">
              <c16:uniqueId val="{00000000-2467-4293-9C13-75C7514B7BC1}"/>
            </c:ext>
          </c:extLst>
        </c:ser>
        <c:dLbls>
          <c:showLegendKey val="0"/>
          <c:showVal val="0"/>
          <c:showCatName val="0"/>
          <c:showSerName val="0"/>
          <c:showPercent val="0"/>
          <c:showBubbleSize val="0"/>
        </c:dLbls>
        <c:gapWidth val="40"/>
        <c:axId val="1075987503"/>
        <c:axId val="979006367"/>
      </c:barChart>
      <c:catAx>
        <c:axId val="10759875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979006367"/>
        <c:crosses val="autoZero"/>
        <c:auto val="1"/>
        <c:lblAlgn val="ctr"/>
        <c:lblOffset val="100"/>
        <c:noMultiLvlLbl val="0"/>
      </c:catAx>
      <c:valAx>
        <c:axId val="9790063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10759875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1" baseline="0">
                <a:solidFill>
                  <a:sysClr val="windowText" lastClr="000000"/>
                </a:solidFill>
                <a:latin typeface="FlandersArtSans-Regular" panose="00000500000000000000" pitchFamily="2" charset="0"/>
              </a:rPr>
              <a:t>2017: top 10 trade surpluses by country</a:t>
            </a:r>
            <a:endParaRPr lang="en-US" b="1">
              <a:solidFill>
                <a:sysClr val="windowText" lastClr="000000"/>
              </a:solidFill>
              <a:latin typeface="FlandersArtSans-Regular" panose="00000500000000000000" pitchFamily="2" charset="0"/>
            </a:endParaRPr>
          </a:p>
          <a:p>
            <a:pPr>
              <a:defRPr>
                <a:latin typeface="FlandersArtSans-Regular" panose="00000500000000000000" pitchFamily="2" charset="0"/>
              </a:defRPr>
            </a:pPr>
            <a:r>
              <a:rPr lang="en-US" sz="800" b="0">
                <a:solidFill>
                  <a:sysClr val="windowText" lastClr="000000"/>
                </a:solidFill>
                <a:latin typeface="FlandersArtSans-Regular" panose="00000500000000000000" pitchFamily="2" charset="0"/>
              </a:rPr>
              <a:t>(x EUR billion</a:t>
            </a:r>
            <a:r>
              <a:rPr lang="en-US" sz="800" b="0" baseline="0">
                <a:solidFill>
                  <a:sysClr val="windowText" lastClr="000000"/>
                </a:solidFill>
                <a:latin typeface="FlandersArtSans-Regular" panose="00000500000000000000" pitchFamily="2" charset="0"/>
              </a:rPr>
              <a:t>)</a:t>
            </a:r>
            <a:endParaRPr lang="en-US" sz="800" b="0">
              <a:solidFill>
                <a:sysClr val="windowText" lastClr="000000"/>
              </a:solidFill>
              <a:latin typeface="FlandersArtSans-Regular" panose="00000500000000000000" pitchFamily="2" charset="0"/>
            </a:endParaRPr>
          </a:p>
        </c:rich>
      </c:tx>
      <c:layout>
        <c:manualLayout>
          <c:xMode val="edge"/>
          <c:yMode val="edge"/>
          <c:x val="0.21254795980691094"/>
          <c:y val="1.78147471262404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barChart>
        <c:barDir val="bar"/>
        <c:grouping val="clustered"/>
        <c:varyColors val="0"/>
        <c:ser>
          <c:idx val="0"/>
          <c:order val="0"/>
          <c:tx>
            <c:strRef>
              <c:f>'top 10 trade surpluses 2017'!$B$1</c:f>
              <c:strCache>
                <c:ptCount val="1"/>
                <c:pt idx="0">
                  <c:v>2017</c:v>
                </c:pt>
              </c:strCache>
            </c:strRef>
          </c:tx>
          <c:spPr>
            <a:solidFill>
              <a:schemeClr val="accent1"/>
            </a:solidFill>
            <a:ln>
              <a:noFill/>
            </a:ln>
            <a:effectLst/>
            <a:scene3d>
              <a:camera prst="orthographicFront"/>
              <a:lightRig rig="threePt" dir="t"/>
            </a:scene3d>
            <a:sp3d>
              <a:bevelT/>
            </a:sp3d>
          </c:spPr>
          <c:invertIfNegative val="0"/>
          <c:dLbls>
            <c:dLbl>
              <c:idx val="9"/>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FlandersArtSans-Medium" panose="00000600000000000000" pitchFamily="2" charset="0"/>
                      <a:ea typeface="+mn-ea"/>
                      <a:cs typeface="+mn-cs"/>
                    </a:defRPr>
                  </a:pPr>
                  <a:endParaRPr lang="nl-BE"/>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D2-457F-B658-1C8CA9667E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10 trade surpluses 2017'!$A$2:$A$11</c:f>
              <c:strCache>
                <c:ptCount val="10"/>
                <c:pt idx="0">
                  <c:v>Austria</c:v>
                </c:pt>
                <c:pt idx="1">
                  <c:v>Nigeria</c:v>
                </c:pt>
                <c:pt idx="2">
                  <c:v>Switzerland</c:v>
                </c:pt>
                <c:pt idx="3">
                  <c:v>Luxembourg</c:v>
                </c:pt>
                <c:pt idx="4">
                  <c:v>Poland</c:v>
                </c:pt>
                <c:pt idx="5">
                  <c:v>India</c:v>
                </c:pt>
                <c:pt idx="6">
                  <c:v>Italy</c:v>
                </c:pt>
                <c:pt idx="7">
                  <c:v>Verenigd Koninkrijk</c:v>
                </c:pt>
                <c:pt idx="8">
                  <c:v>France</c:v>
                </c:pt>
                <c:pt idx="9">
                  <c:v>Germany</c:v>
                </c:pt>
              </c:strCache>
            </c:strRef>
          </c:cat>
          <c:val>
            <c:numRef>
              <c:f>'top 10 trade surpluses 2017'!$B$2:$B$11</c:f>
              <c:numCache>
                <c:formatCode>#,##0.0</c:formatCode>
                <c:ptCount val="10"/>
                <c:pt idx="0">
                  <c:v>1.6653202460799996</c:v>
                </c:pt>
                <c:pt idx="1">
                  <c:v>2.2319407309599999</c:v>
                </c:pt>
                <c:pt idx="2">
                  <c:v>2.5926527064700005</c:v>
                </c:pt>
                <c:pt idx="3">
                  <c:v>2.6569949840099998</c:v>
                </c:pt>
                <c:pt idx="4">
                  <c:v>2.9180101499999997</c:v>
                </c:pt>
                <c:pt idx="5">
                  <c:v>3.11882198125</c:v>
                </c:pt>
                <c:pt idx="6">
                  <c:v>7.1656005784700003</c:v>
                </c:pt>
                <c:pt idx="7">
                  <c:v>12.63776938701</c:v>
                </c:pt>
                <c:pt idx="8">
                  <c:v>14.830490880279999</c:v>
                </c:pt>
                <c:pt idx="9">
                  <c:v>17.968956990189998</c:v>
                </c:pt>
              </c:numCache>
            </c:numRef>
          </c:val>
          <c:extLst>
            <c:ext xmlns:c16="http://schemas.microsoft.com/office/drawing/2014/chart" uri="{C3380CC4-5D6E-409C-BE32-E72D297353CC}">
              <c16:uniqueId val="{00000001-78D2-457F-B658-1C8CA9667E15}"/>
            </c:ext>
          </c:extLst>
        </c:ser>
        <c:dLbls>
          <c:showLegendKey val="0"/>
          <c:showVal val="0"/>
          <c:showCatName val="0"/>
          <c:showSerName val="0"/>
          <c:showPercent val="0"/>
          <c:showBubbleSize val="0"/>
        </c:dLbls>
        <c:gapWidth val="40"/>
        <c:axId val="853150031"/>
        <c:axId val="1075495231"/>
      </c:barChart>
      <c:catAx>
        <c:axId val="85315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1075495231"/>
        <c:crosses val="autoZero"/>
        <c:auto val="1"/>
        <c:lblAlgn val="ctr"/>
        <c:lblOffset val="100"/>
        <c:noMultiLvlLbl val="0"/>
      </c:catAx>
      <c:valAx>
        <c:axId val="1075495231"/>
        <c:scaling>
          <c:orientation val="minMax"/>
          <c:max val="1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853150031"/>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1">
                <a:solidFill>
                  <a:sysClr val="windowText" lastClr="000000"/>
                </a:solidFill>
                <a:latin typeface="FlandersArtSans-Regular" panose="00000500000000000000" pitchFamily="2" charset="0"/>
              </a:rPr>
              <a:t>2017:</a:t>
            </a:r>
            <a:r>
              <a:rPr lang="en-US" b="1" baseline="0">
                <a:solidFill>
                  <a:sysClr val="windowText" lastClr="000000"/>
                </a:solidFill>
                <a:latin typeface="FlandersArtSans-Regular" panose="00000500000000000000" pitchFamily="2" charset="0"/>
              </a:rPr>
              <a:t> top 10 trade surpluses by product</a:t>
            </a:r>
            <a:endParaRPr lang="en-US" b="1">
              <a:solidFill>
                <a:sysClr val="windowText" lastClr="000000"/>
              </a:solidFill>
              <a:latin typeface="FlandersArtSans-Regular" panose="00000500000000000000" pitchFamily="2" charset="0"/>
            </a:endParaRPr>
          </a:p>
          <a:p>
            <a:pPr>
              <a:defRPr>
                <a:latin typeface="FlandersArtSans-Regular" panose="00000500000000000000" pitchFamily="2" charset="0"/>
              </a:defRPr>
            </a:pPr>
            <a:r>
              <a:rPr lang="en-US" sz="800" b="0">
                <a:solidFill>
                  <a:sysClr val="windowText" lastClr="000000"/>
                </a:solidFill>
                <a:latin typeface="FlandersArtSans-Regular" panose="00000500000000000000" pitchFamily="2" charset="0"/>
              </a:rPr>
              <a:t>(x</a:t>
            </a:r>
            <a:r>
              <a:rPr lang="en-US" sz="800" b="0" baseline="0">
                <a:solidFill>
                  <a:sysClr val="windowText" lastClr="000000"/>
                </a:solidFill>
                <a:latin typeface="FlandersArtSans-Regular" panose="00000500000000000000" pitchFamily="2" charset="0"/>
              </a:rPr>
              <a:t> EUR </a:t>
            </a:r>
            <a:r>
              <a:rPr lang="en-US" sz="800" b="0">
                <a:solidFill>
                  <a:sysClr val="windowText" lastClr="000000"/>
                </a:solidFill>
                <a:latin typeface="FlandersArtSans-Regular" panose="00000500000000000000" pitchFamily="2" charset="0"/>
              </a:rPr>
              <a:t>billion)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manualLayout>
          <c:layoutTarget val="inner"/>
          <c:xMode val="edge"/>
          <c:yMode val="edge"/>
          <c:x val="0.39631231953327484"/>
          <c:y val="0.12894539451118156"/>
          <c:w val="0.57273757551269799"/>
          <c:h val="0.79180383687079803"/>
        </c:manualLayout>
      </c:layout>
      <c:barChart>
        <c:barDir val="bar"/>
        <c:grouping val="clustered"/>
        <c:varyColors val="0"/>
        <c:ser>
          <c:idx val="0"/>
          <c:order val="0"/>
          <c:tx>
            <c:strRef>
              <c:f>'top 10 surpluses PRODUCT 2017'!$B$1</c:f>
              <c:strCache>
                <c:ptCount val="1"/>
                <c:pt idx="0">
                  <c:v>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10 surpluses PRODUCT 2017'!$A$2:$A$10</c:f>
              <c:strCache>
                <c:ptCount val="9"/>
                <c:pt idx="0">
                  <c:v>Optical &amp; precision instruments </c:v>
                </c:pt>
                <c:pt idx="1">
                  <c:v>Cereal preparations and bakery products</c:v>
                </c:pt>
                <c:pt idx="2">
                  <c:v>Footwear</c:v>
                </c:pt>
                <c:pt idx="3">
                  <c:v>Meat</c:v>
                </c:pt>
                <c:pt idx="4">
                  <c:v>Road transport vehicles</c:v>
                </c:pt>
                <c:pt idx="5">
                  <c:v>Precious stones &amp; metals </c:v>
                </c:pt>
                <c:pt idx="6">
                  <c:v>Iron &amp; steel</c:v>
                </c:pt>
                <c:pt idx="7">
                  <c:v>Pharmaceuticals </c:v>
                </c:pt>
                <c:pt idx="8">
                  <c:v>Plastics</c:v>
                </c:pt>
              </c:strCache>
            </c:strRef>
          </c:cat>
          <c:val>
            <c:numRef>
              <c:f>'top 10 surpluses PRODUCT 2017'!$B$2:$B$10</c:f>
              <c:numCache>
                <c:formatCode>#,##0.0</c:formatCode>
                <c:ptCount val="9"/>
                <c:pt idx="0">
                  <c:v>1.4083493957200004</c:v>
                </c:pt>
                <c:pt idx="1">
                  <c:v>1.5252685609599999</c:v>
                </c:pt>
                <c:pt idx="2">
                  <c:v>1.7141328739800001</c:v>
                </c:pt>
                <c:pt idx="3">
                  <c:v>1.99910266328</c:v>
                </c:pt>
                <c:pt idx="4">
                  <c:v>2.1438273119100035</c:v>
                </c:pt>
                <c:pt idx="5">
                  <c:v>2.1802076885400004</c:v>
                </c:pt>
                <c:pt idx="6">
                  <c:v>2.7880497202500001</c:v>
                </c:pt>
                <c:pt idx="7">
                  <c:v>5.9125801684000008</c:v>
                </c:pt>
                <c:pt idx="8">
                  <c:v>8.4189267368300005</c:v>
                </c:pt>
              </c:numCache>
            </c:numRef>
          </c:val>
          <c:extLst>
            <c:ext xmlns:c16="http://schemas.microsoft.com/office/drawing/2014/chart" uri="{C3380CC4-5D6E-409C-BE32-E72D297353CC}">
              <c16:uniqueId val="{00000000-242C-4859-8039-1D620E84D4BA}"/>
            </c:ext>
          </c:extLst>
        </c:ser>
        <c:dLbls>
          <c:showLegendKey val="0"/>
          <c:showVal val="0"/>
          <c:showCatName val="0"/>
          <c:showSerName val="0"/>
          <c:showPercent val="0"/>
          <c:showBubbleSize val="0"/>
        </c:dLbls>
        <c:gapWidth val="40"/>
        <c:axId val="620154815"/>
        <c:axId val="638655727"/>
      </c:barChart>
      <c:catAx>
        <c:axId val="6201548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638655727"/>
        <c:crosses val="autoZero"/>
        <c:auto val="1"/>
        <c:lblAlgn val="ctr"/>
        <c:lblOffset val="100"/>
        <c:noMultiLvlLbl val="0"/>
      </c:catAx>
      <c:valAx>
        <c:axId val="638655727"/>
        <c:scaling>
          <c:orientation val="minMax"/>
        </c:scaling>
        <c:delete val="0"/>
        <c:axPos val="b"/>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62015481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1">
                <a:solidFill>
                  <a:sysClr val="windowText" lastClr="000000"/>
                </a:solidFill>
                <a:latin typeface="FlandersArtSans-Regular" panose="00000500000000000000" pitchFamily="2" charset="0"/>
              </a:rPr>
              <a:t>2017: top 10 trade</a:t>
            </a:r>
            <a:r>
              <a:rPr lang="en-US" b="1" baseline="0">
                <a:solidFill>
                  <a:sysClr val="windowText" lastClr="000000"/>
                </a:solidFill>
                <a:latin typeface="FlandersArtSans-Regular" panose="00000500000000000000" pitchFamily="2" charset="0"/>
              </a:rPr>
              <a:t> deficits by country </a:t>
            </a:r>
            <a:endParaRPr lang="en-US" b="1">
              <a:solidFill>
                <a:sysClr val="windowText" lastClr="000000"/>
              </a:solidFill>
              <a:latin typeface="FlandersArtSans-Regular" panose="00000500000000000000" pitchFamily="2" charset="0"/>
            </a:endParaRPr>
          </a:p>
          <a:p>
            <a:pPr>
              <a:defRPr>
                <a:latin typeface="FlandersArtSans-Regular" panose="00000500000000000000" pitchFamily="2" charset="0"/>
              </a:defRPr>
            </a:pPr>
            <a:r>
              <a:rPr lang="en-US" sz="800" b="0">
                <a:solidFill>
                  <a:sysClr val="windowText" lastClr="000000"/>
                </a:solidFill>
                <a:latin typeface="FlandersArtSans-Regular" panose="00000500000000000000" pitchFamily="2" charset="0"/>
              </a:rPr>
              <a:t>(x EUR billion)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barChart>
        <c:barDir val="bar"/>
        <c:grouping val="clustered"/>
        <c:varyColors val="0"/>
        <c:ser>
          <c:idx val="0"/>
          <c:order val="0"/>
          <c:tx>
            <c:strRef>
              <c:f>'top 10 trade deficits 2017'!$B$1</c:f>
              <c:strCache>
                <c:ptCount val="1"/>
                <c:pt idx="0">
                  <c:v>2017</c:v>
                </c:pt>
              </c:strCache>
            </c:strRef>
          </c:tx>
          <c:spPr>
            <a:solidFill>
              <a:srgbClr val="FF0000"/>
            </a:solidFill>
            <a:ln>
              <a:noFill/>
            </a:ln>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chemeClr val="bg1"/>
                      </a:solidFill>
                      <a:latin typeface="FlandersArtSans-Medium" panose="00000600000000000000" pitchFamily="2" charset="0"/>
                      <a:ea typeface="+mn-ea"/>
                      <a:cs typeface="+mn-cs"/>
                    </a:defRPr>
                  </a:pPr>
                  <a:endParaRPr lang="nl-BE"/>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F6-4E11-BEB7-4540A7EFE82E}"/>
                </c:ext>
              </c:extLst>
            </c:dLbl>
            <c:spPr>
              <a:noFill/>
              <a:ln>
                <a:noFill/>
              </a:ln>
              <a:effectLst/>
            </c:spPr>
            <c:txPr>
              <a:bodyPr rot="0" spcFirstLastPara="1" vertOverflow="ellipsis" vert="horz" wrap="square" lIns="38100" tIns="19050" rIns="38100" bIns="19050" anchor="ctr" anchorCtr="0">
                <a:spAutoFit/>
              </a:bodyPr>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10 trade deficits 2017'!$A$2:$A$11</c:f>
              <c:strCache>
                <c:ptCount val="10"/>
                <c:pt idx="0">
                  <c:v>the Netherlands</c:v>
                </c:pt>
                <c:pt idx="1">
                  <c:v>Ireland</c:v>
                </c:pt>
                <c:pt idx="2">
                  <c:v>United States</c:v>
                </c:pt>
                <c:pt idx="3">
                  <c:v>China</c:v>
                </c:pt>
                <c:pt idx="4">
                  <c:v>Japan</c:v>
                </c:pt>
                <c:pt idx="5">
                  <c:v>Russia</c:v>
                </c:pt>
                <c:pt idx="6">
                  <c:v>Singapore</c:v>
                </c:pt>
                <c:pt idx="7">
                  <c:v>Norway</c:v>
                </c:pt>
                <c:pt idx="8">
                  <c:v>Mexico</c:v>
                </c:pt>
                <c:pt idx="9">
                  <c:v>Vietnam</c:v>
                </c:pt>
              </c:strCache>
            </c:strRef>
          </c:cat>
          <c:val>
            <c:numRef>
              <c:f>'top 10 trade deficits 2017'!$B$2:$B$11</c:f>
              <c:numCache>
                <c:formatCode>#,##0.0</c:formatCode>
                <c:ptCount val="10"/>
                <c:pt idx="0">
                  <c:v>-13.844266731200003</c:v>
                </c:pt>
                <c:pt idx="1">
                  <c:v>-10.385759996619999</c:v>
                </c:pt>
                <c:pt idx="2">
                  <c:v>-7.2239523155400009</c:v>
                </c:pt>
                <c:pt idx="3">
                  <c:v>-5.8319313264999995</c:v>
                </c:pt>
                <c:pt idx="4">
                  <c:v>-5.47552858302</c:v>
                </c:pt>
                <c:pt idx="5">
                  <c:v>-4.9274976421999996</c:v>
                </c:pt>
                <c:pt idx="6">
                  <c:v>-2.9889605930000003</c:v>
                </c:pt>
                <c:pt idx="7">
                  <c:v>-2.8951595394299998</c:v>
                </c:pt>
                <c:pt idx="8">
                  <c:v>-2.37655882964</c:v>
                </c:pt>
                <c:pt idx="9">
                  <c:v>-1.5586966879199999</c:v>
                </c:pt>
              </c:numCache>
            </c:numRef>
          </c:val>
          <c:extLst>
            <c:ext xmlns:c16="http://schemas.microsoft.com/office/drawing/2014/chart" uri="{C3380CC4-5D6E-409C-BE32-E72D297353CC}">
              <c16:uniqueId val="{00000001-1DF6-4E11-BEB7-4540A7EFE82E}"/>
            </c:ext>
          </c:extLst>
        </c:ser>
        <c:dLbls>
          <c:showLegendKey val="0"/>
          <c:showVal val="0"/>
          <c:showCatName val="0"/>
          <c:showSerName val="0"/>
          <c:showPercent val="0"/>
          <c:showBubbleSize val="0"/>
        </c:dLbls>
        <c:gapWidth val="40"/>
        <c:axId val="976018415"/>
        <c:axId val="719873983"/>
      </c:barChart>
      <c:catAx>
        <c:axId val="976018415"/>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719873983"/>
        <c:crosses val="autoZero"/>
        <c:auto val="1"/>
        <c:lblAlgn val="ctr"/>
        <c:lblOffset val="100"/>
        <c:noMultiLvlLbl val="0"/>
      </c:catAx>
      <c:valAx>
        <c:axId val="719873983"/>
        <c:scaling>
          <c:orientation val="minMax"/>
          <c:min val="-14"/>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nl-BE" sz="10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97601841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b="1">
                <a:solidFill>
                  <a:sysClr val="windowText" lastClr="000000"/>
                </a:solidFill>
                <a:latin typeface="FlandersArtSans-Regular" panose="00000500000000000000" pitchFamily="2" charset="0"/>
              </a:rPr>
              <a:t>2017: top 10 trade deficits by product</a:t>
            </a:r>
          </a:p>
          <a:p>
            <a:pPr>
              <a:defRPr>
                <a:latin typeface="FlandersArtSans-Regular" panose="00000500000000000000" pitchFamily="2" charset="0"/>
              </a:defRPr>
            </a:pPr>
            <a:r>
              <a:rPr lang="en-US" sz="800">
                <a:solidFill>
                  <a:sysClr val="windowText" lastClr="000000"/>
                </a:solidFill>
                <a:latin typeface="FlandersArtSans-Regular" panose="00000500000000000000" pitchFamily="2" charset="0"/>
              </a:rPr>
              <a:t>(x</a:t>
            </a:r>
            <a:r>
              <a:rPr lang="en-US" sz="800" baseline="0">
                <a:solidFill>
                  <a:sysClr val="windowText" lastClr="000000"/>
                </a:solidFill>
                <a:latin typeface="FlandersArtSans-Regular" panose="00000500000000000000" pitchFamily="2" charset="0"/>
              </a:rPr>
              <a:t> EUR billion</a:t>
            </a:r>
            <a:r>
              <a:rPr lang="en-US" sz="800">
                <a:solidFill>
                  <a:sysClr val="windowText" lastClr="000000"/>
                </a:solidFill>
                <a:latin typeface="FlandersArtSans-Regular" panose="00000500000000000000" pitchFamily="2"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barChart>
        <c:barDir val="bar"/>
        <c:grouping val="clustered"/>
        <c:varyColors val="0"/>
        <c:ser>
          <c:idx val="0"/>
          <c:order val="0"/>
          <c:tx>
            <c:strRef>
              <c:f>Sheet18!$B$1</c:f>
              <c:strCache>
                <c:ptCount val="1"/>
                <c:pt idx="0">
                  <c:v>2017</c:v>
                </c:pt>
              </c:strCache>
            </c:strRef>
          </c:tx>
          <c:spPr>
            <a:solidFill>
              <a:srgbClr val="FF0000"/>
            </a:solidFill>
            <a:ln>
              <a:noFill/>
            </a:ln>
            <a:effectLst/>
            <a:scene3d>
              <a:camera prst="orthographicFront"/>
              <a:lightRig rig="threePt" dir="t"/>
            </a:scene3d>
            <a:sp3d>
              <a:bevelT/>
            </a:sp3d>
          </c:spPr>
          <c:invertIfNegative val="0"/>
          <c:dLbls>
            <c:dLbl>
              <c:idx val="0"/>
              <c:layout>
                <c:manualLayout>
                  <c:x val="-4.8066345652165256E-2"/>
                  <c:y val="0"/>
                </c:manualLayout>
              </c:layout>
              <c:spPr>
                <a:noFill/>
                <a:ln>
                  <a:noFill/>
                </a:ln>
                <a:effectLst/>
              </c:spPr>
              <c:txPr>
                <a:bodyPr rot="0" spcFirstLastPara="1" vertOverflow="ellipsis" vert="horz" wrap="square" lIns="38100" tIns="19050" rIns="38100" bIns="19050" anchor="ctr" anchorCtr="0">
                  <a:spAutoFit/>
                </a:bodyPr>
                <a:lstStyle/>
                <a:p>
                  <a:pPr algn="ctr">
                    <a:defRPr lang="nl-BE" sz="900" b="0" i="0" u="none" strike="noStrike" kern="1200" baseline="0">
                      <a:solidFill>
                        <a:schemeClr val="bg1"/>
                      </a:solidFill>
                      <a:latin typeface="FlandersArtSans-Medium" panose="00000600000000000000" pitchFamily="2" charset="0"/>
                      <a:ea typeface="+mn-ea"/>
                      <a:cs typeface="+mn-cs"/>
                    </a:defRPr>
                  </a:pPr>
                  <a:endParaRPr lang="nl-BE"/>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33-4FB6-ACBB-99524E3CD46C}"/>
                </c:ext>
              </c:extLst>
            </c:dLbl>
            <c:spPr>
              <a:noFill/>
              <a:ln>
                <a:noFill/>
              </a:ln>
              <a:effectLst/>
            </c:spPr>
            <c:txPr>
              <a:bodyPr rot="0" spcFirstLastPara="1" vertOverflow="ellipsis" vert="horz" wrap="square" lIns="38100" tIns="19050" rIns="38100" bIns="19050" anchor="ctr" anchorCtr="0">
                <a:spAutoFit/>
              </a:bodyPr>
              <a:lstStyle/>
              <a:p>
                <a:pPr algn="ctr">
                  <a:defRPr lang="nl-BE" sz="900" b="0" i="0" u="none" strike="noStrike" kern="1200" baseline="0">
                    <a:solidFill>
                      <a:schemeClr val="tx1">
                        <a:lumMod val="65000"/>
                        <a:lumOff val="35000"/>
                      </a:schemeClr>
                    </a:solidFill>
                    <a:latin typeface="FlandersArtSans-Medium" panose="00000600000000000000"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Sheet18!$A$2:$A$11</c:f>
              <c:strCache>
                <c:ptCount val="10"/>
                <c:pt idx="0">
                  <c:v>Mineral fuels  </c:v>
                </c:pt>
                <c:pt idx="1">
                  <c:v>Ores &amp; mineral commodities</c:v>
                </c:pt>
                <c:pt idx="2">
                  <c:v>Electronic equipment </c:v>
                </c:pt>
                <c:pt idx="3">
                  <c:v>Cereals</c:v>
                </c:pt>
                <c:pt idx="4">
                  <c:v>Organic chemicals</c:v>
                </c:pt>
                <c:pt idx="5">
                  <c:v>Oil seeds &amp; oleaginous fruits</c:v>
                </c:pt>
                <c:pt idx="6">
                  <c:v>Furniture &amp; lighting appliances</c:v>
                </c:pt>
                <c:pt idx="7">
                  <c:v>Fruits</c:v>
                </c:pt>
                <c:pt idx="8">
                  <c:v>Fish &amp; crustaceans</c:v>
                </c:pt>
                <c:pt idx="9">
                  <c:v>Machinery &amp; mechanical equipment</c:v>
                </c:pt>
              </c:strCache>
            </c:strRef>
          </c:cat>
          <c:val>
            <c:numRef>
              <c:f>Sheet18!$B$2:$B$11</c:f>
              <c:numCache>
                <c:formatCode>#,##0.0</c:formatCode>
                <c:ptCount val="10"/>
                <c:pt idx="0">
                  <c:v>-13.84677542275</c:v>
                </c:pt>
                <c:pt idx="1">
                  <c:v>-2.1149261242200001</c:v>
                </c:pt>
                <c:pt idx="2">
                  <c:v>-1.8184327586400006</c:v>
                </c:pt>
                <c:pt idx="3">
                  <c:v>-1.2108870864400001</c:v>
                </c:pt>
                <c:pt idx="4">
                  <c:v>-1.1361181598000005</c:v>
                </c:pt>
                <c:pt idx="5">
                  <c:v>-0.96574580933000009</c:v>
                </c:pt>
                <c:pt idx="6">
                  <c:v>-0.65651761121000018</c:v>
                </c:pt>
                <c:pt idx="7">
                  <c:v>-0.60433024133000013</c:v>
                </c:pt>
                <c:pt idx="8">
                  <c:v>-0.55640304628000004</c:v>
                </c:pt>
                <c:pt idx="9">
                  <c:v>-0.52704017886000132</c:v>
                </c:pt>
              </c:numCache>
            </c:numRef>
          </c:val>
          <c:extLst>
            <c:ext xmlns:c16="http://schemas.microsoft.com/office/drawing/2014/chart" uri="{C3380CC4-5D6E-409C-BE32-E72D297353CC}">
              <c16:uniqueId val="{00000001-ED33-4FB6-ACBB-99524E3CD46C}"/>
            </c:ext>
          </c:extLst>
        </c:ser>
        <c:dLbls>
          <c:showLegendKey val="0"/>
          <c:showVal val="0"/>
          <c:showCatName val="0"/>
          <c:showSerName val="0"/>
          <c:showPercent val="0"/>
          <c:showBubbleSize val="0"/>
        </c:dLbls>
        <c:gapWidth val="40"/>
        <c:axId val="458122655"/>
        <c:axId val="551503711"/>
      </c:barChart>
      <c:catAx>
        <c:axId val="458122655"/>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551503711"/>
        <c:crosses val="autoZero"/>
        <c:auto val="1"/>
        <c:lblAlgn val="ctr"/>
        <c:lblOffset val="100"/>
        <c:noMultiLvlLbl val="0"/>
      </c:catAx>
      <c:valAx>
        <c:axId val="551503711"/>
        <c:scaling>
          <c:orientation val="minMax"/>
          <c:min val="-14"/>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nl-BE" sz="900" b="0" i="0" u="none" strike="noStrike" kern="1200" baseline="0">
                <a:solidFill>
                  <a:sysClr val="windowText" lastClr="000000"/>
                </a:solidFill>
                <a:latin typeface="FlandersArtSans-Medium" panose="00000600000000000000" pitchFamily="2" charset="0"/>
                <a:ea typeface="+mn-ea"/>
                <a:cs typeface="+mn-cs"/>
              </a:defRPr>
            </a:pPr>
            <a:endParaRPr lang="nl-BE"/>
          </a:p>
        </c:txPr>
        <c:crossAx val="458122655"/>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FF67-CA31-4879-87E8-05C89BD2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9</Pages>
  <Words>2013</Words>
  <Characters>11077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Flanders Investment &amp; Trade</dc:creator>
  <cp:lastModifiedBy>Renaat Van de Putte</cp:lastModifiedBy>
  <cp:revision>32</cp:revision>
  <cp:lastPrinted>2013-03-28T16:27:00Z</cp:lastPrinted>
  <dcterms:created xsi:type="dcterms:W3CDTF">2018-04-19T16:46:00Z</dcterms:created>
  <dcterms:modified xsi:type="dcterms:W3CDTF">2018-04-25T15:45:00Z</dcterms:modified>
</cp:coreProperties>
</file>