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Default"/>
      </w:pPr>
    </w:p>
    <w:p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WTO ziet groei wereldhandel vertragen door handelsconflicten en -spanningen</w:t>
      </w:r>
      <w:r>
        <w:rPr>
          <w:b/>
          <w:sz w:val="22"/>
          <w:szCs w:val="22"/>
        </w:rPr>
        <w:br/>
      </w:r>
    </w:p>
    <w:p>
      <w:pPr>
        <w:pStyle w:val="Default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Volgens ramingen van het WTO zou het volume van de wereldhandel in 2019 maar </w:t>
      </w:r>
      <w:r>
        <w:rPr>
          <w:rFonts w:ascii="Verdana" w:hAnsi="Verdana" w:cs="Verdana"/>
          <w:bCs/>
          <w:sz w:val="18"/>
          <w:szCs w:val="18"/>
        </w:rPr>
        <w:t>1</w:t>
      </w:r>
      <w:r>
        <w:rPr>
          <w:rFonts w:ascii="Verdana" w:hAnsi="Verdana" w:cs="Verdana"/>
          <w:bCs/>
          <w:sz w:val="18"/>
          <w:szCs w:val="18"/>
        </w:rPr>
        <w:t>,</w:t>
      </w:r>
      <w:r>
        <w:rPr>
          <w:rFonts w:ascii="Verdana" w:hAnsi="Verdana" w:cs="Verdana"/>
          <w:bCs/>
          <w:sz w:val="18"/>
          <w:szCs w:val="18"/>
        </w:rPr>
        <w:t xml:space="preserve">2% </w:t>
      </w:r>
      <w:r>
        <w:rPr>
          <w:rFonts w:ascii="Verdana" w:hAnsi="Verdana" w:cs="Verdana"/>
          <w:bCs/>
          <w:sz w:val="18"/>
          <w:szCs w:val="18"/>
        </w:rPr>
        <w:t>toenemen, heel wat minder dan de groeiprognose</w:t>
      </w:r>
      <w:r>
        <w:rPr>
          <w:rFonts w:ascii="Verdana" w:hAnsi="Verdana" w:cs="Verdana"/>
          <w:bCs/>
          <w:sz w:val="18"/>
          <w:szCs w:val="18"/>
        </w:rPr>
        <w:t xml:space="preserve"> </w:t>
      </w:r>
      <w:r>
        <w:rPr>
          <w:rFonts w:ascii="Verdana" w:hAnsi="Verdana" w:cs="Verdana"/>
          <w:bCs/>
          <w:sz w:val="18"/>
          <w:szCs w:val="18"/>
        </w:rPr>
        <w:t>van 2,6%, waar het WTO in april 2019 nog van uitging.</w:t>
      </w:r>
    </w:p>
    <w:p>
      <w:pPr>
        <w:pStyle w:val="Default"/>
        <w:rPr>
          <w:rFonts w:ascii="Verdana" w:hAnsi="Verdana" w:cs="Verdana"/>
          <w:bCs/>
          <w:sz w:val="18"/>
          <w:szCs w:val="18"/>
        </w:rPr>
      </w:pPr>
    </w:p>
    <w:p>
      <w:pPr>
        <w:pStyle w:val="Default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Tijdens de eerste jaarhelft van 2019 ging de export- en de i</w:t>
      </w:r>
      <w:r>
        <w:rPr>
          <w:rFonts w:ascii="Verdana" w:hAnsi="Verdana" w:cs="Verdana"/>
          <w:bCs/>
          <w:sz w:val="18"/>
          <w:szCs w:val="18"/>
        </w:rPr>
        <w:t>mport</w:t>
      </w:r>
      <w:r>
        <w:rPr>
          <w:rFonts w:ascii="Verdana" w:hAnsi="Verdana" w:cs="Verdana"/>
          <w:bCs/>
          <w:sz w:val="18"/>
          <w:szCs w:val="18"/>
        </w:rPr>
        <w:t xml:space="preserve">groei op de rem en dat over alle regio’s en ontwikkelingniveau’s heen: </w:t>
      </w:r>
      <w:r>
        <w:rPr>
          <w:rFonts w:ascii="Verdana" w:hAnsi="Verdana" w:cs="Verdana"/>
          <w:bCs/>
          <w:sz w:val="18"/>
          <w:szCs w:val="18"/>
        </w:rPr>
        <w:br/>
      </w:r>
    </w:p>
    <w:p>
      <w:pPr>
        <w:pStyle w:val="Default"/>
        <w:numPr>
          <w:ilvl w:val="0"/>
          <w:numId w:val="5"/>
        </w:numPr>
        <w:rPr>
          <w:sz w:val="22"/>
          <w:szCs w:val="22"/>
          <w:lang w:val="en-US"/>
        </w:rPr>
      </w:pPr>
      <w:r>
        <w:rPr>
          <w:rFonts w:ascii="Verdana" w:hAnsi="Verdana" w:cs="Verdana"/>
          <w:bCs/>
          <w:sz w:val="18"/>
          <w:szCs w:val="18"/>
          <w:lang w:val="en-US"/>
        </w:rPr>
        <w:t xml:space="preserve">export </w:t>
      </w:r>
      <w:r>
        <w:rPr>
          <w:rFonts w:ascii="Verdana" w:hAnsi="Verdana" w:cs="Verdana"/>
          <w:bCs/>
          <w:i/>
          <w:sz w:val="18"/>
          <w:szCs w:val="18"/>
          <w:lang w:val="en-US"/>
        </w:rPr>
        <w:t>developed</w:t>
      </w:r>
      <w:r>
        <w:rPr>
          <w:rFonts w:ascii="Verdana" w:hAnsi="Verdana" w:cs="Verdana"/>
          <w:bCs/>
          <w:sz w:val="18"/>
          <w:szCs w:val="18"/>
          <w:lang w:val="en-US"/>
        </w:rPr>
        <w:t xml:space="preserve">: 2,1% (2018) tot 0,4% (2Q-2019); export </w:t>
      </w:r>
      <w:r>
        <w:rPr>
          <w:rFonts w:ascii="Verdana" w:hAnsi="Verdana" w:cs="Verdana"/>
          <w:bCs/>
          <w:i/>
          <w:sz w:val="18"/>
          <w:szCs w:val="18"/>
          <w:lang w:val="en-US"/>
        </w:rPr>
        <w:t>developing</w:t>
      </w:r>
      <w:r>
        <w:rPr>
          <w:rFonts w:ascii="Verdana" w:hAnsi="Verdana" w:cs="Verdana"/>
          <w:bCs/>
          <w:sz w:val="18"/>
          <w:szCs w:val="18"/>
          <w:lang w:val="en-US"/>
        </w:rPr>
        <w:t>: 3,5% (2018) tot 2,1% (2Q-2019)</w:t>
      </w:r>
      <w:r>
        <w:rPr>
          <w:sz w:val="22"/>
          <w:szCs w:val="22"/>
          <w:lang w:val="en-US"/>
        </w:rPr>
        <w:t>;</w:t>
      </w:r>
    </w:p>
    <w:p>
      <w:pPr>
        <w:pStyle w:val="Default"/>
        <w:numPr>
          <w:ilvl w:val="0"/>
          <w:numId w:val="5"/>
        </w:numPr>
        <w:rPr>
          <w:sz w:val="22"/>
          <w:szCs w:val="22"/>
          <w:lang w:val="en-US"/>
        </w:rPr>
      </w:pPr>
      <w:r>
        <w:rPr>
          <w:rFonts w:ascii="Verdana" w:hAnsi="Verdana" w:cs="Verdana"/>
          <w:bCs/>
          <w:sz w:val="18"/>
          <w:szCs w:val="18"/>
          <w:lang w:val="en-US"/>
        </w:rPr>
        <w:t>imp</w:t>
      </w:r>
      <w:r>
        <w:rPr>
          <w:rFonts w:ascii="Verdana" w:hAnsi="Verdana" w:cs="Verdana"/>
          <w:bCs/>
          <w:sz w:val="18"/>
          <w:szCs w:val="18"/>
          <w:lang w:val="en-US"/>
        </w:rPr>
        <w:t xml:space="preserve">ort </w:t>
      </w:r>
      <w:r>
        <w:rPr>
          <w:rFonts w:ascii="Verdana" w:hAnsi="Verdana" w:cs="Verdana"/>
          <w:bCs/>
          <w:i/>
          <w:sz w:val="18"/>
          <w:szCs w:val="18"/>
          <w:lang w:val="en-US"/>
        </w:rPr>
        <w:t>developed</w:t>
      </w:r>
      <w:r>
        <w:rPr>
          <w:rFonts w:ascii="Verdana" w:hAnsi="Verdana" w:cs="Verdana"/>
          <w:bCs/>
          <w:sz w:val="18"/>
          <w:szCs w:val="18"/>
          <w:lang w:val="en-US"/>
        </w:rPr>
        <w:t xml:space="preserve">: </w:t>
      </w:r>
      <w:r>
        <w:rPr>
          <w:rFonts w:ascii="Verdana" w:hAnsi="Verdana" w:cs="Verdana"/>
          <w:bCs/>
          <w:sz w:val="18"/>
          <w:szCs w:val="18"/>
          <w:lang w:val="en-US"/>
        </w:rPr>
        <w:t>2</w:t>
      </w:r>
      <w:r>
        <w:rPr>
          <w:rFonts w:ascii="Verdana" w:hAnsi="Verdana" w:cs="Verdana"/>
          <w:bCs/>
          <w:sz w:val="18"/>
          <w:szCs w:val="18"/>
          <w:lang w:val="en-US"/>
        </w:rPr>
        <w:t>,</w:t>
      </w:r>
      <w:r>
        <w:rPr>
          <w:rFonts w:ascii="Verdana" w:hAnsi="Verdana" w:cs="Verdana"/>
          <w:bCs/>
          <w:sz w:val="18"/>
          <w:szCs w:val="18"/>
          <w:lang w:val="en-US"/>
        </w:rPr>
        <w:t>5</w:t>
      </w:r>
      <w:r>
        <w:rPr>
          <w:rFonts w:ascii="Verdana" w:hAnsi="Verdana" w:cs="Verdana"/>
          <w:bCs/>
          <w:sz w:val="18"/>
          <w:szCs w:val="18"/>
          <w:lang w:val="en-US"/>
        </w:rPr>
        <w:t xml:space="preserve">% (2018) tot </w:t>
      </w:r>
      <w:r>
        <w:rPr>
          <w:rFonts w:ascii="Verdana" w:hAnsi="Verdana" w:cs="Verdana"/>
          <w:bCs/>
          <w:sz w:val="18"/>
          <w:szCs w:val="18"/>
          <w:lang w:val="en-US"/>
        </w:rPr>
        <w:t>1,6%</w:t>
      </w:r>
      <w:r>
        <w:rPr>
          <w:rFonts w:ascii="Verdana" w:hAnsi="Verdana" w:cs="Verdana"/>
          <w:bCs/>
          <w:sz w:val="18"/>
          <w:szCs w:val="18"/>
          <w:lang w:val="en-US"/>
        </w:rPr>
        <w:t xml:space="preserve"> (2Q-2019);</w:t>
      </w:r>
      <w:r>
        <w:rPr>
          <w:rFonts w:ascii="Verdana" w:hAnsi="Verdana" w:cs="Verdana"/>
          <w:bCs/>
          <w:sz w:val="18"/>
          <w:szCs w:val="18"/>
          <w:lang w:val="en-US"/>
        </w:rPr>
        <w:t xml:space="preserve"> export</w:t>
      </w:r>
      <w:r>
        <w:rPr>
          <w:rFonts w:ascii="Verdana" w:hAnsi="Verdana" w:cs="Verdana"/>
          <w:bCs/>
          <w:sz w:val="18"/>
          <w:szCs w:val="18"/>
          <w:lang w:val="en-US"/>
        </w:rPr>
        <w:t xml:space="preserve"> </w:t>
      </w:r>
      <w:r>
        <w:rPr>
          <w:rFonts w:ascii="Verdana" w:hAnsi="Verdana" w:cs="Verdana"/>
          <w:bCs/>
          <w:i/>
          <w:sz w:val="18"/>
          <w:szCs w:val="18"/>
          <w:lang w:val="en-US"/>
        </w:rPr>
        <w:t>developing</w:t>
      </w:r>
      <w:r>
        <w:rPr>
          <w:rFonts w:ascii="Verdana" w:hAnsi="Verdana" w:cs="Verdana"/>
          <w:bCs/>
          <w:sz w:val="18"/>
          <w:szCs w:val="18"/>
          <w:lang w:val="en-US"/>
        </w:rPr>
        <w:t xml:space="preserve">: </w:t>
      </w:r>
      <w:r>
        <w:rPr>
          <w:rFonts w:ascii="Verdana" w:hAnsi="Verdana" w:cs="Verdana"/>
          <w:bCs/>
          <w:sz w:val="18"/>
          <w:szCs w:val="18"/>
          <w:lang w:val="en-US"/>
        </w:rPr>
        <w:t>4</w:t>
      </w:r>
      <w:r>
        <w:rPr>
          <w:rFonts w:ascii="Verdana" w:hAnsi="Verdana" w:cs="Verdana"/>
          <w:bCs/>
          <w:sz w:val="18"/>
          <w:szCs w:val="18"/>
          <w:lang w:val="en-US"/>
        </w:rPr>
        <w:t>,</w:t>
      </w:r>
      <w:r>
        <w:rPr>
          <w:rFonts w:ascii="Verdana" w:hAnsi="Verdana" w:cs="Verdana"/>
          <w:bCs/>
          <w:sz w:val="18"/>
          <w:szCs w:val="18"/>
          <w:lang w:val="en-US"/>
        </w:rPr>
        <w:t>1</w:t>
      </w:r>
      <w:r>
        <w:rPr>
          <w:rFonts w:ascii="Verdana" w:hAnsi="Verdana" w:cs="Verdana"/>
          <w:bCs/>
          <w:sz w:val="18"/>
          <w:szCs w:val="18"/>
          <w:lang w:val="en-US"/>
        </w:rPr>
        <w:t xml:space="preserve">% (2018) tot </w:t>
      </w:r>
      <w:r>
        <w:rPr>
          <w:rFonts w:ascii="Verdana" w:hAnsi="Verdana" w:cs="Verdana"/>
          <w:bCs/>
          <w:sz w:val="18"/>
          <w:szCs w:val="18"/>
          <w:lang w:val="en-US"/>
        </w:rPr>
        <w:t>1</w:t>
      </w:r>
      <w:r>
        <w:rPr>
          <w:rFonts w:ascii="Verdana" w:hAnsi="Verdana" w:cs="Verdana"/>
          <w:bCs/>
          <w:sz w:val="18"/>
          <w:szCs w:val="18"/>
          <w:lang w:val="en-US"/>
        </w:rPr>
        <w:t>,1% (2Q-2019)</w:t>
      </w:r>
      <w:r>
        <w:rPr>
          <w:sz w:val="22"/>
          <w:szCs w:val="22"/>
          <w:lang w:val="en-US"/>
        </w:rPr>
        <w:t>;</w:t>
      </w:r>
      <w:bookmarkStart w:id="0" w:name="_GoBack"/>
      <w:bookmarkEnd w:id="0"/>
    </w:p>
    <w:p>
      <w:pPr>
        <w:pStyle w:val="Default"/>
        <w:rPr>
          <w:rFonts w:ascii="Verdana" w:hAnsi="Verdana" w:cs="Verdana"/>
          <w:b/>
          <w:bCs/>
          <w:sz w:val="18"/>
          <w:szCs w:val="18"/>
          <w:lang w:val="en-US"/>
        </w:rPr>
      </w:pPr>
    </w:p>
    <w:p>
      <w:pPr>
        <w:pStyle w:val="Default"/>
        <w:rPr>
          <w:b/>
          <w:sz w:val="22"/>
          <w:szCs w:val="22"/>
        </w:rPr>
      </w:pPr>
      <w:r>
        <w:rPr>
          <w:rFonts w:ascii="Verdana" w:hAnsi="Verdana" w:cs="Verdana"/>
          <w:bCs/>
          <w:sz w:val="18"/>
          <w:szCs w:val="18"/>
        </w:rPr>
        <w:t>In 2020 zou de totale wereldhandel weer licht kunnen aantrekken tot +</w:t>
      </w:r>
      <w:r>
        <w:rPr>
          <w:rFonts w:ascii="Verdana" w:hAnsi="Verdana" w:cs="Verdana"/>
          <w:bCs/>
          <w:sz w:val="18"/>
          <w:szCs w:val="18"/>
        </w:rPr>
        <w:t>2</w:t>
      </w:r>
      <w:r>
        <w:rPr>
          <w:rFonts w:ascii="Verdana" w:hAnsi="Verdana" w:cs="Verdana"/>
          <w:bCs/>
          <w:sz w:val="18"/>
          <w:szCs w:val="18"/>
        </w:rPr>
        <w:t>,</w:t>
      </w:r>
      <w:r>
        <w:rPr>
          <w:rFonts w:ascii="Verdana" w:hAnsi="Verdana" w:cs="Verdana"/>
          <w:bCs/>
          <w:sz w:val="18"/>
          <w:szCs w:val="18"/>
        </w:rPr>
        <w:t>7%</w:t>
      </w:r>
      <w:r>
        <w:rPr>
          <w:rFonts w:ascii="Verdana" w:hAnsi="Verdana" w:cs="Verdana"/>
          <w:bCs/>
          <w:sz w:val="18"/>
          <w:szCs w:val="18"/>
        </w:rPr>
        <w:t xml:space="preserve">, terwijl het wereld-BBP zijn groei </w:t>
      </w:r>
      <w:r>
        <w:rPr>
          <w:rFonts w:ascii="Verdana" w:hAnsi="Verdana" w:cs="Verdana"/>
          <w:bCs/>
          <w:sz w:val="18"/>
          <w:szCs w:val="18"/>
        </w:rPr>
        <w:t xml:space="preserve">van 2,3% </w:t>
      </w:r>
      <w:r>
        <w:rPr>
          <w:rFonts w:ascii="Verdana" w:hAnsi="Verdana" w:cs="Verdana"/>
          <w:bCs/>
          <w:sz w:val="18"/>
          <w:szCs w:val="18"/>
        </w:rPr>
        <w:t>(tegen markprijzen) zou kunnen bestendigen</w:t>
      </w:r>
      <w:r>
        <w:rPr>
          <w:sz w:val="22"/>
          <w:szCs w:val="22"/>
        </w:rPr>
        <w:t xml:space="preserve"> indien de spanningen in het wereldhandelsgebeuren niet verder oplopen of — bij voorkeur — afnemen. Een sterker vertragende wereldeconomie zou immers een nóg meer nefaste impact hebben op de evolutie van de wereldhandel.</w:t>
      </w:r>
      <w:r>
        <w:rPr>
          <w:sz w:val="22"/>
          <w:szCs w:val="22"/>
        </w:rPr>
        <w:br/>
      </w:r>
      <w:r>
        <w:rPr>
          <w:rFonts w:ascii="Verdana" w:hAnsi="Verdana" w:cs="Verdana"/>
          <w:bCs/>
          <w:sz w:val="18"/>
          <w:szCs w:val="18"/>
        </w:rPr>
        <w:br/>
        <w:t>Handelsconflicten en nadelige ontwikkelingen in het handelsbeleid leggen de zwaarste hypotheek op de prognoses, maar ook macro-economische schokken en financiële volatiliteit kunnen de vertraging nog verergeren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Nieuwe “tarievenrondes” gevolgd door vergeldingsheffingen kunnen een destructief effect hebben op de internationale handel. Ook een rommelige brexit zal een aanzienlijke impact kunnen hebben vooral op de “regionale” intra-Europese handel.</w:t>
      </w:r>
    </w:p>
    <w:p>
      <w:pPr>
        <w:pStyle w:val="Default"/>
        <w:spacing w:after="281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br/>
      </w:r>
      <w:r>
        <w:rPr>
          <w:rFonts w:ascii="Verdana" w:hAnsi="Verdana" w:cs="Verdana"/>
          <w:bCs/>
          <w:sz w:val="18"/>
          <w:szCs w:val="18"/>
        </w:rPr>
        <w:t xml:space="preserve">Ook enkele handelsindicatoren op de korte termijn, met name die rond </w:t>
      </w:r>
      <w:r>
        <w:rPr>
          <w:rFonts w:ascii="Verdana" w:hAnsi="Verdana" w:cs="Verdana"/>
          <w:bCs/>
          <w:i/>
          <w:sz w:val="18"/>
          <w:szCs w:val="18"/>
        </w:rPr>
        <w:t>exportorders</w:t>
      </w:r>
      <w:r>
        <w:rPr>
          <w:rFonts w:ascii="Verdana" w:hAnsi="Verdana" w:cs="Verdana"/>
          <w:bCs/>
          <w:sz w:val="18"/>
          <w:szCs w:val="18"/>
        </w:rPr>
        <w:t xml:space="preserve"> en </w:t>
      </w:r>
      <w:r>
        <w:rPr>
          <w:rFonts w:ascii="Verdana" w:hAnsi="Verdana" w:cs="Verdana"/>
          <w:bCs/>
          <w:i/>
          <w:sz w:val="18"/>
          <w:szCs w:val="18"/>
        </w:rPr>
        <w:t>economische beleidsonzekerheid</w:t>
      </w:r>
      <w:r>
        <w:rPr>
          <w:rFonts w:ascii="Verdana" w:hAnsi="Verdana" w:cs="Verdana"/>
          <w:bCs/>
          <w:sz w:val="18"/>
          <w:szCs w:val="18"/>
        </w:rPr>
        <w:t>,</w:t>
      </w:r>
      <w:r>
        <w:rPr>
          <w:rFonts w:ascii="Verdana" w:hAnsi="Verdana" w:cs="Verdana"/>
          <w:bCs/>
          <w:i/>
          <w:sz w:val="18"/>
          <w:szCs w:val="18"/>
        </w:rPr>
        <w:t xml:space="preserve"> </w:t>
      </w:r>
      <w:r>
        <w:rPr>
          <w:rFonts w:ascii="Verdana" w:hAnsi="Verdana" w:cs="Verdana"/>
          <w:bCs/>
          <w:sz w:val="18"/>
          <w:szCs w:val="18"/>
        </w:rPr>
        <w:t xml:space="preserve">hangen een vrij somber beeld op van het huidige en toekomstige traject van de wereldhandel: </w:t>
      </w:r>
    </w:p>
    <w:p>
      <w:pPr>
        <w:pStyle w:val="Default"/>
        <w:numPr>
          <w:ilvl w:val="0"/>
          <w:numId w:val="5"/>
        </w:numPr>
        <w:spacing w:after="281"/>
        <w:rPr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de PMI-index (</w:t>
      </w:r>
      <w:r>
        <w:rPr>
          <w:rFonts w:ascii="Verdana" w:hAnsi="Verdana" w:cs="Verdana"/>
          <w:bCs/>
          <w:sz w:val="18"/>
          <w:szCs w:val="18"/>
        </w:rPr>
        <w:t>purchasing managers' ind</w:t>
      </w:r>
      <w:r>
        <w:rPr>
          <w:rFonts w:ascii="Verdana" w:hAnsi="Verdana" w:cs="Verdana"/>
          <w:bCs/>
          <w:sz w:val="18"/>
          <w:szCs w:val="18"/>
        </w:rPr>
        <w:t>ex), die zicht geeft op nieuwe exportbestellingen, is sinds januari 2018 teruggezakt van 5</w:t>
      </w:r>
      <w:r>
        <w:rPr>
          <w:rFonts w:ascii="Verdana" w:hAnsi="Verdana" w:cs="Verdana"/>
          <w:bCs/>
          <w:sz w:val="18"/>
          <w:szCs w:val="18"/>
        </w:rPr>
        <w:t>4.0 to</w:t>
      </w:r>
      <w:r>
        <w:rPr>
          <w:rFonts w:ascii="Verdana" w:hAnsi="Verdana" w:cs="Verdana"/>
          <w:bCs/>
          <w:sz w:val="18"/>
          <w:szCs w:val="18"/>
        </w:rPr>
        <w:t>t</w:t>
      </w:r>
      <w:r>
        <w:rPr>
          <w:sz w:val="18"/>
          <w:szCs w:val="18"/>
        </w:rPr>
        <w:t xml:space="preserve"> </w:t>
      </w:r>
      <w:r>
        <w:rPr>
          <w:rFonts w:ascii="Verdana" w:hAnsi="Verdana" w:cs="Verdana"/>
          <w:bCs/>
          <w:sz w:val="18"/>
          <w:szCs w:val="18"/>
        </w:rPr>
        <w:t>47.5</w:t>
      </w:r>
      <w:r>
        <w:rPr>
          <w:rFonts w:ascii="Verdana" w:hAnsi="Verdana" w:cs="Verdana"/>
          <w:bCs/>
          <w:sz w:val="18"/>
          <w:szCs w:val="18"/>
        </w:rPr>
        <w:t xml:space="preserve">, meteen de laagste notering sinds het najaar van 2012 én een notering onder </w:t>
      </w:r>
      <w:r>
        <w:rPr>
          <w:rFonts w:ascii="Verdana" w:hAnsi="Verdana" w:cs="Verdana"/>
          <w:bCs/>
          <w:sz w:val="18"/>
          <w:szCs w:val="18"/>
        </w:rPr>
        <w:t>50.0</w:t>
      </w:r>
      <w:r>
        <w:rPr>
          <w:rFonts w:ascii="Verdana" w:hAnsi="Verdana" w:cs="Verdana"/>
          <w:bCs/>
          <w:sz w:val="18"/>
          <w:szCs w:val="18"/>
        </w:rPr>
        <w:t>, wat wijst op teruglopende orderportefeuilles</w:t>
      </w:r>
      <w:r>
        <w:rPr>
          <w:rFonts w:ascii="Verdana" w:hAnsi="Verdana" w:cs="Verdana"/>
          <w:bCs/>
          <w:sz w:val="18"/>
          <w:szCs w:val="18"/>
        </w:rPr>
        <w:t>.</w:t>
      </w:r>
    </w:p>
    <w:p>
      <w:pPr>
        <w:pStyle w:val="Default"/>
        <w:numPr>
          <w:ilvl w:val="0"/>
          <w:numId w:val="5"/>
        </w:numPr>
        <w:spacing w:after="281"/>
        <w:rPr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een andere index, die de frekwentie meet van positieve of negatieve berichtgeving in de pers en zo een idee geeft rond het vertrouwen in bepaalde aspecten van </w:t>
      </w:r>
      <w:r>
        <w:rPr>
          <w:rFonts w:ascii="Verdana" w:hAnsi="Verdana" w:cs="Verdana"/>
          <w:sz w:val="18"/>
          <w:szCs w:val="18"/>
        </w:rPr>
        <w:t>moneta</w:t>
      </w:r>
      <w:r>
        <w:rPr>
          <w:rFonts w:ascii="Verdana" w:hAnsi="Verdana" w:cs="Verdana"/>
          <w:sz w:val="18"/>
          <w:szCs w:val="18"/>
        </w:rPr>
        <w:t xml:space="preserve">ir, financieel en handelsbeleid, stond in januari 2019 op </w:t>
      </w:r>
      <w:r>
        <w:rPr>
          <w:rFonts w:ascii="Verdana" w:hAnsi="Verdana" w:cs="Verdana"/>
          <w:sz w:val="18"/>
          <w:szCs w:val="18"/>
        </w:rPr>
        <w:t>289</w:t>
      </w:r>
      <w:r>
        <w:rPr>
          <w:rFonts w:ascii="Verdana" w:hAnsi="Verdana" w:cs="Verdana"/>
          <w:sz w:val="18"/>
          <w:szCs w:val="18"/>
        </w:rPr>
        <w:t xml:space="preserve">, terwijl die in augustus al to </w:t>
      </w:r>
      <w:r>
        <w:rPr>
          <w:rFonts w:ascii="Verdana" w:hAnsi="Verdana" w:cs="Verdana"/>
          <w:sz w:val="18"/>
          <w:szCs w:val="18"/>
        </w:rPr>
        <w:t xml:space="preserve">348 </w:t>
      </w:r>
      <w:r>
        <w:rPr>
          <w:rFonts w:ascii="Verdana" w:hAnsi="Verdana" w:cs="Verdana"/>
          <w:sz w:val="18"/>
          <w:szCs w:val="18"/>
        </w:rPr>
        <w:t>was opgelopen</w:t>
      </w:r>
      <w:r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z w:val="18"/>
          <w:szCs w:val="18"/>
        </w:rPr>
        <w:t xml:space="preserve"> ook al de hoogste index ooit</w:t>
      </w:r>
      <w:r>
        <w:rPr>
          <w:rFonts w:ascii="Verdana" w:hAnsi="Verdana" w:cs="Verdana"/>
          <w:sz w:val="18"/>
          <w:szCs w:val="18"/>
        </w:rPr>
        <w:t xml:space="preserve">. 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conomi</w:t>
      </w:r>
      <w:r>
        <w:rPr>
          <w:rFonts w:ascii="Verdana" w:hAnsi="Verdana" w:cs="Verdana"/>
          <w:sz w:val="18"/>
          <w:szCs w:val="18"/>
        </w:rPr>
        <w:t xml:space="preserve">sche onzekerheid schrikt investeerders af en kan daardoor ook een uitgesproken negatief effect hebben op de wereldhandel. </w:t>
      </w:r>
      <w:r>
        <w:rPr>
          <w:rFonts w:ascii="Verdana" w:hAnsi="Verdana" w:cs="Verdana"/>
          <w:sz w:val="18"/>
          <w:szCs w:val="18"/>
        </w:rPr>
        <w:br/>
        <w:t>Bij investeringen in kapitaalgoederen komt overigens meer dan eens veel import kijken</w:t>
      </w:r>
      <w:r>
        <w:rPr>
          <w:rFonts w:ascii="Verdana" w:hAnsi="Verdana" w:cs="Verdana"/>
          <w:sz w:val="18"/>
          <w:szCs w:val="18"/>
        </w:rPr>
        <w:t>.</w:t>
      </w:r>
    </w:p>
    <w:p/>
    <w:sectPr>
      <w:pgSz w:w="11906" w:h="17338"/>
      <w:pgMar w:top="1219" w:right="785" w:bottom="1397" w:left="122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F9A560"/>
    <w:multiLevelType w:val="hybridMultilevel"/>
    <w:tmpl w:val="7DE8AC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EB7339E"/>
    <w:multiLevelType w:val="hybridMultilevel"/>
    <w:tmpl w:val="7C44CCF0"/>
    <w:lvl w:ilvl="0" w:tplc="A36258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9373C"/>
    <w:multiLevelType w:val="hybridMultilevel"/>
    <w:tmpl w:val="7B9ED778"/>
    <w:lvl w:ilvl="0" w:tplc="A36258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55C27"/>
    <w:multiLevelType w:val="hybridMultilevel"/>
    <w:tmpl w:val="E82EB446"/>
    <w:lvl w:ilvl="0" w:tplc="CE2044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06067"/>
    <w:multiLevelType w:val="hybridMultilevel"/>
    <w:tmpl w:val="BDF04CE8"/>
    <w:lvl w:ilvl="0" w:tplc="64EA00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26FFA-FECE-4EF6-BCB7-E91C334E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Renaat Van de Putte</dc:creator>
  <cp:keywords/>
  <dc:description/>
  <cp:lastModifiedBy>Renaat Van de Putte</cp:lastModifiedBy>
  <cp:revision>2</cp:revision>
  <dcterms:created xsi:type="dcterms:W3CDTF">2019-10-15T14:11:00Z</dcterms:created>
  <dcterms:modified xsi:type="dcterms:W3CDTF">2019-10-15T14:11:00Z</dcterms:modified>
</cp:coreProperties>
</file>