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2C9" w:rsidRDefault="007132C9"/>
    <w:p w:rsidR="006656D5" w:rsidRPr="00E55D5D" w:rsidRDefault="00E55D5D" w:rsidP="00E55D5D">
      <w:pPr>
        <w:pStyle w:val="Title"/>
        <w:rPr>
          <w:lang w:val="it-IT"/>
        </w:rPr>
        <w:sectPr w:rsidR="006656D5" w:rsidRPr="00E55D5D" w:rsidSect="006656D5">
          <w:footerReference w:type="default" r:id="rId8"/>
          <w:headerReference w:type="first" r:id="rId9"/>
          <w:footerReference w:type="first" r:id="rId10"/>
          <w:type w:val="oddPage"/>
          <w:pgSz w:w="11906" w:h="16838"/>
          <w:pgMar w:top="1417" w:right="1417" w:bottom="1417" w:left="1417" w:header="708" w:footer="708" w:gutter="0"/>
          <w:cols w:space="708"/>
          <w:titlePg/>
          <w:docGrid w:linePitch="360"/>
        </w:sectPr>
      </w:pPr>
      <w:r>
        <w:rPr>
          <w:lang w:val="it-IT"/>
        </w:rPr>
        <w:t>55° SALONE DEL MOBILE</w:t>
      </w:r>
      <w:r w:rsidR="009644AB" w:rsidRPr="008C2421">
        <w:rPr>
          <w:lang w:val="it-IT"/>
        </w:rPr>
        <w:t xml:space="preserve"> MILAAN</w:t>
      </w:r>
      <w:r>
        <w:rPr>
          <w:lang w:val="it-IT"/>
        </w:rPr>
        <w:t xml:space="preserve"> – </w:t>
      </w:r>
      <w:r w:rsidR="00EC18FF">
        <w:rPr>
          <w:lang w:val="it-IT"/>
        </w:rPr>
        <w:t>12-17</w:t>
      </w:r>
      <w:r w:rsidR="00AB2DAC" w:rsidRPr="00B1499C">
        <w:rPr>
          <w:lang w:val="it-IT"/>
        </w:rPr>
        <w:t xml:space="preserve"> </w:t>
      </w:r>
      <w:r w:rsidR="00EC18FF">
        <w:rPr>
          <w:lang w:val="it-IT"/>
        </w:rPr>
        <w:t>APRIL</w:t>
      </w:r>
      <w:r w:rsidR="009644AB" w:rsidRPr="00B1499C">
        <w:rPr>
          <w:lang w:val="it-IT"/>
        </w:rPr>
        <w:t xml:space="preserve"> 2016</w:t>
      </w:r>
    </w:p>
    <w:p w:rsidR="006656D5" w:rsidRPr="00B1499C" w:rsidRDefault="006656D5" w:rsidP="006656D5">
      <w:pPr>
        <w:rPr>
          <w:lang w:val="it-IT"/>
        </w:rPr>
      </w:pPr>
    </w:p>
    <w:p w:rsidR="006656D5" w:rsidRPr="004B485E" w:rsidRDefault="006656D5" w:rsidP="009A6585">
      <w:pPr>
        <w:pStyle w:val="Heading1"/>
        <w:rPr>
          <w:lang w:val="it-IT"/>
        </w:rPr>
      </w:pPr>
      <w:r w:rsidRPr="004B485E">
        <w:rPr>
          <w:lang w:val="it-IT"/>
        </w:rPr>
        <w:t xml:space="preserve">De </w:t>
      </w:r>
      <w:proofErr w:type="spellStart"/>
      <w:r w:rsidRPr="004B485E">
        <w:rPr>
          <w:lang w:val="it-IT"/>
        </w:rPr>
        <w:t>beurs</w:t>
      </w:r>
      <w:proofErr w:type="spellEnd"/>
      <w:r w:rsidRPr="004B485E">
        <w:rPr>
          <w:lang w:val="it-IT"/>
        </w:rPr>
        <w:t xml:space="preserve"> in </w:t>
      </w:r>
      <w:proofErr w:type="spellStart"/>
      <w:r w:rsidRPr="004B485E">
        <w:rPr>
          <w:lang w:val="it-IT"/>
        </w:rPr>
        <w:t>het</w:t>
      </w:r>
      <w:proofErr w:type="spellEnd"/>
      <w:r w:rsidRPr="004B485E">
        <w:rPr>
          <w:lang w:val="it-IT"/>
        </w:rPr>
        <w:t xml:space="preserve"> </w:t>
      </w:r>
      <w:proofErr w:type="spellStart"/>
      <w:r w:rsidRPr="004B485E">
        <w:rPr>
          <w:lang w:val="it-IT"/>
        </w:rPr>
        <w:t>kort</w:t>
      </w:r>
      <w:proofErr w:type="spellEnd"/>
    </w:p>
    <w:p w:rsidR="00FD6CCE" w:rsidRPr="00FD6CCE" w:rsidRDefault="006656D5" w:rsidP="00FD6CCE">
      <w:pPr>
        <w:tabs>
          <w:tab w:val="left" w:pos="1985"/>
        </w:tabs>
        <w:autoSpaceDE w:val="0"/>
        <w:autoSpaceDN w:val="0"/>
        <w:adjustRightInd w:val="0"/>
        <w:spacing w:after="120"/>
        <w:ind w:left="1985" w:hanging="1985"/>
        <w:rPr>
          <w:bCs/>
          <w:lang w:val="it-IT"/>
        </w:rPr>
      </w:pPr>
      <w:proofErr w:type="spellStart"/>
      <w:r w:rsidRPr="00FD6CCE">
        <w:rPr>
          <w:b/>
          <w:lang w:val="it-IT"/>
        </w:rPr>
        <w:t>Plaats</w:t>
      </w:r>
      <w:proofErr w:type="spellEnd"/>
      <w:r w:rsidRPr="00FD6CCE">
        <w:rPr>
          <w:b/>
          <w:lang w:val="it-IT"/>
        </w:rPr>
        <w:t>:</w:t>
      </w:r>
      <w:r w:rsidRPr="00FD6CCE">
        <w:rPr>
          <w:bCs/>
          <w:lang w:val="it-IT"/>
        </w:rPr>
        <w:tab/>
      </w:r>
      <w:r w:rsidR="009644AB" w:rsidRPr="008344AB">
        <w:rPr>
          <w:bCs/>
          <w:lang w:val="it-IT"/>
        </w:rPr>
        <w:t xml:space="preserve">Milaan – </w:t>
      </w:r>
      <w:proofErr w:type="spellStart"/>
      <w:r w:rsidR="009644AB" w:rsidRPr="008344AB">
        <w:rPr>
          <w:bCs/>
          <w:lang w:val="it-IT"/>
        </w:rPr>
        <w:t>Beurscomplex</w:t>
      </w:r>
      <w:proofErr w:type="spellEnd"/>
      <w:r w:rsidR="009644AB" w:rsidRPr="008344AB">
        <w:rPr>
          <w:bCs/>
          <w:lang w:val="it-IT"/>
        </w:rPr>
        <w:t xml:space="preserve"> </w:t>
      </w:r>
      <w:proofErr w:type="spellStart"/>
      <w:r w:rsidR="009644AB" w:rsidRPr="008344AB">
        <w:rPr>
          <w:bCs/>
          <w:lang w:val="it-IT"/>
        </w:rPr>
        <w:t>FieraMilano</w:t>
      </w:r>
      <w:proofErr w:type="spellEnd"/>
      <w:r w:rsidR="009644AB" w:rsidRPr="008344AB">
        <w:rPr>
          <w:bCs/>
          <w:lang w:val="it-IT"/>
        </w:rPr>
        <w:br/>
      </w:r>
      <w:r w:rsidR="009644AB" w:rsidRPr="008344AB">
        <w:rPr>
          <w:lang w:val="it-IT"/>
        </w:rPr>
        <w:t>Str</w:t>
      </w:r>
      <w:r w:rsidR="009644AB">
        <w:rPr>
          <w:lang w:val="it-IT"/>
        </w:rPr>
        <w:t>ada Statale 33 del Sempione, 28</w:t>
      </w:r>
      <w:r w:rsidR="009644AB" w:rsidRPr="008344AB">
        <w:rPr>
          <w:lang w:val="it-IT"/>
        </w:rPr>
        <w:t xml:space="preserve"> </w:t>
      </w:r>
      <w:r w:rsidR="009644AB">
        <w:rPr>
          <w:lang w:val="it-IT"/>
        </w:rPr>
        <w:br/>
      </w:r>
      <w:r w:rsidR="009644AB" w:rsidRPr="008344AB">
        <w:rPr>
          <w:lang w:val="it-IT"/>
        </w:rPr>
        <w:t xml:space="preserve">20145 Rho </w:t>
      </w:r>
      <w:r w:rsidR="009644AB">
        <w:rPr>
          <w:lang w:val="it-IT"/>
        </w:rPr>
        <w:t>(Milaan)</w:t>
      </w:r>
    </w:p>
    <w:p w:rsidR="009644AB" w:rsidRPr="004B485E" w:rsidRDefault="006656D5" w:rsidP="009644AB">
      <w:pPr>
        <w:tabs>
          <w:tab w:val="left" w:pos="1985"/>
        </w:tabs>
        <w:autoSpaceDE w:val="0"/>
        <w:autoSpaceDN w:val="0"/>
        <w:adjustRightInd w:val="0"/>
        <w:spacing w:after="120"/>
        <w:ind w:left="1985" w:hanging="1985"/>
        <w:rPr>
          <w:bCs/>
          <w:lang w:val="it-IT"/>
        </w:rPr>
      </w:pPr>
      <w:proofErr w:type="spellStart"/>
      <w:proofErr w:type="gramStart"/>
      <w:r w:rsidRPr="004B485E">
        <w:rPr>
          <w:b/>
          <w:lang w:val="it-IT"/>
        </w:rPr>
        <w:t>Beursorganisator</w:t>
      </w:r>
      <w:proofErr w:type="spellEnd"/>
      <w:r w:rsidRPr="004B485E">
        <w:rPr>
          <w:b/>
          <w:lang w:val="it-IT"/>
        </w:rPr>
        <w:t>:</w:t>
      </w:r>
      <w:r w:rsidRPr="004B485E">
        <w:rPr>
          <w:lang w:val="it-IT"/>
        </w:rPr>
        <w:tab/>
      </w:r>
      <w:proofErr w:type="spellStart"/>
      <w:proofErr w:type="gramEnd"/>
      <w:r w:rsidR="005848CF" w:rsidRPr="005848CF">
        <w:rPr>
          <w:bCs/>
          <w:lang w:val="it-IT"/>
        </w:rPr>
        <w:t>Federlegno</w:t>
      </w:r>
      <w:proofErr w:type="spellEnd"/>
      <w:r w:rsidR="005848CF" w:rsidRPr="005848CF">
        <w:rPr>
          <w:bCs/>
          <w:lang w:val="it-IT"/>
        </w:rPr>
        <w:t xml:space="preserve"> Arredo Eventi spa</w:t>
      </w:r>
      <w:r w:rsidR="005848CF" w:rsidRPr="005848CF">
        <w:rPr>
          <w:bCs/>
          <w:lang w:val="it-IT"/>
        </w:rPr>
        <w:br/>
        <w:t>F</w:t>
      </w:r>
      <w:r w:rsidR="005848CF">
        <w:rPr>
          <w:bCs/>
          <w:lang w:val="it-IT"/>
        </w:rPr>
        <w:t xml:space="preserve">oro </w:t>
      </w:r>
      <w:proofErr w:type="spellStart"/>
      <w:r w:rsidR="005848CF">
        <w:rPr>
          <w:bCs/>
          <w:lang w:val="it-IT"/>
        </w:rPr>
        <w:t>Buonaparte</w:t>
      </w:r>
      <w:proofErr w:type="spellEnd"/>
      <w:r w:rsidR="005848CF">
        <w:rPr>
          <w:bCs/>
          <w:lang w:val="it-IT"/>
        </w:rPr>
        <w:t xml:space="preserve"> 65</w:t>
      </w:r>
      <w:r w:rsidR="005848CF">
        <w:rPr>
          <w:bCs/>
          <w:lang w:val="it-IT"/>
        </w:rPr>
        <w:br/>
        <w:t>20121 Milano</w:t>
      </w:r>
      <w:r w:rsidR="005848CF">
        <w:rPr>
          <w:bCs/>
          <w:lang w:val="it-IT"/>
        </w:rPr>
        <w:br/>
        <w:t>Tel. 02 725941</w:t>
      </w:r>
      <w:r w:rsidR="005848CF" w:rsidRPr="005848CF">
        <w:rPr>
          <w:bCs/>
          <w:lang w:val="it-IT"/>
        </w:rPr>
        <w:br/>
      </w:r>
      <w:hyperlink r:id="rId11" w:history="1">
        <w:r w:rsidR="005848CF" w:rsidRPr="005848CF">
          <w:rPr>
            <w:rStyle w:val="Hyperlink"/>
            <w:bCs/>
            <w:lang w:val="it-IT"/>
          </w:rPr>
          <w:t>info@salonemilano.it</w:t>
        </w:r>
      </w:hyperlink>
    </w:p>
    <w:p w:rsidR="006656D5" w:rsidRPr="00F370D1" w:rsidRDefault="006656D5" w:rsidP="00133B2F">
      <w:pPr>
        <w:spacing w:after="120"/>
        <w:ind w:left="1985" w:hanging="1985"/>
        <w:jc w:val="both"/>
      </w:pPr>
      <w:r>
        <w:rPr>
          <w:b/>
        </w:rPr>
        <w:t>Producten:</w:t>
      </w:r>
      <w:r w:rsidRPr="00EC3941">
        <w:tab/>
      </w:r>
      <w:r w:rsidR="00AC2384" w:rsidRPr="004A60BB">
        <w:t>Tuin</w:t>
      </w:r>
      <w:r w:rsidR="007B4ECF" w:rsidRPr="004A60BB">
        <w:t>-, woon-</w:t>
      </w:r>
      <w:r w:rsidR="00785CE2" w:rsidRPr="004A60BB">
        <w:t>,</w:t>
      </w:r>
      <w:r w:rsidR="007B4ECF" w:rsidRPr="004A60BB">
        <w:t xml:space="preserve"> badkamer</w:t>
      </w:r>
      <w:r w:rsidR="00785CE2" w:rsidRPr="004A60BB">
        <w:t>- en kantoor</w:t>
      </w:r>
      <w:r w:rsidR="007B4ECF" w:rsidRPr="004A60BB">
        <w:t>meubelen</w:t>
      </w:r>
      <w:r w:rsidR="00AC2384" w:rsidRPr="004A60BB">
        <w:t>, lichtinstallaties,</w:t>
      </w:r>
      <w:r w:rsidR="007B4ECF" w:rsidRPr="004A60BB">
        <w:t xml:space="preserve"> </w:t>
      </w:r>
      <w:r w:rsidR="002A2ACA" w:rsidRPr="004A60BB">
        <w:t xml:space="preserve">decoratieve </w:t>
      </w:r>
      <w:r w:rsidR="004A60BB" w:rsidRPr="004A60BB">
        <w:t>design objecten</w:t>
      </w:r>
      <w:r w:rsidR="000F5166" w:rsidRPr="004A60BB">
        <w:t xml:space="preserve">. </w:t>
      </w:r>
    </w:p>
    <w:p w:rsidR="006656D5" w:rsidRPr="00F370D1" w:rsidRDefault="006656D5" w:rsidP="006656D5">
      <w:pPr>
        <w:tabs>
          <w:tab w:val="left" w:pos="1985"/>
        </w:tabs>
        <w:autoSpaceDE w:val="0"/>
        <w:autoSpaceDN w:val="0"/>
        <w:adjustRightInd w:val="0"/>
        <w:spacing w:after="120"/>
        <w:ind w:left="1985" w:hanging="1985"/>
      </w:pPr>
      <w:r w:rsidRPr="00F370D1">
        <w:rPr>
          <w:b/>
        </w:rPr>
        <w:t>Frequentie:</w:t>
      </w:r>
      <w:r w:rsidRPr="00F370D1">
        <w:tab/>
      </w:r>
      <w:r w:rsidR="00133B2F" w:rsidRPr="00F370D1">
        <w:rPr>
          <w:bCs/>
        </w:rPr>
        <w:t>jaarlijks</w:t>
      </w:r>
    </w:p>
    <w:p w:rsidR="00E1130C" w:rsidRPr="00F370D1" w:rsidRDefault="006656D5" w:rsidP="00E1130C">
      <w:pPr>
        <w:tabs>
          <w:tab w:val="left" w:pos="1985"/>
        </w:tabs>
        <w:autoSpaceDE w:val="0"/>
        <w:autoSpaceDN w:val="0"/>
        <w:adjustRightInd w:val="0"/>
        <w:spacing w:after="120"/>
        <w:ind w:left="1985" w:hanging="1985"/>
        <w:rPr>
          <w:bCs/>
        </w:rPr>
      </w:pPr>
      <w:r w:rsidRPr="00F370D1">
        <w:rPr>
          <w:b/>
        </w:rPr>
        <w:t>Data en duur:</w:t>
      </w:r>
      <w:r w:rsidRPr="00F370D1">
        <w:tab/>
      </w:r>
      <w:r w:rsidR="00AC2384">
        <w:t>12-17</w:t>
      </w:r>
      <w:r w:rsidR="00AB2DAC" w:rsidRPr="00F370D1">
        <w:t xml:space="preserve"> </w:t>
      </w:r>
      <w:r w:rsidR="00AC2384">
        <w:t>april</w:t>
      </w:r>
      <w:r w:rsidR="009644AB" w:rsidRPr="00F370D1">
        <w:t xml:space="preserve"> </w:t>
      </w:r>
      <w:r w:rsidR="00AC2384">
        <w:t>2016 (6</w:t>
      </w:r>
      <w:r w:rsidR="009644AB" w:rsidRPr="00F370D1">
        <w:t xml:space="preserve"> dagen)</w:t>
      </w:r>
    </w:p>
    <w:p w:rsidR="006656D5" w:rsidRPr="00F370D1" w:rsidRDefault="006656D5" w:rsidP="006656D5">
      <w:pPr>
        <w:tabs>
          <w:tab w:val="left" w:pos="1985"/>
        </w:tabs>
        <w:spacing w:after="0"/>
        <w:ind w:left="1985" w:hanging="1985"/>
      </w:pPr>
      <w:r w:rsidRPr="00F370D1">
        <w:rPr>
          <w:b/>
        </w:rPr>
        <w:t>Karakter:</w:t>
      </w:r>
      <w:r w:rsidRPr="00F370D1">
        <w:tab/>
      </w:r>
      <w:r w:rsidR="00133B2F" w:rsidRPr="00F370D1">
        <w:rPr>
          <w:bCs/>
        </w:rPr>
        <w:t>internationale</w:t>
      </w:r>
      <w:r w:rsidR="00D7090B" w:rsidRPr="00F370D1">
        <w:rPr>
          <w:bCs/>
        </w:rPr>
        <w:t xml:space="preserve"> </w:t>
      </w:r>
      <w:r w:rsidR="00AB2DAC" w:rsidRPr="00F370D1">
        <w:rPr>
          <w:bCs/>
        </w:rPr>
        <w:t>beurs (</w:t>
      </w:r>
      <w:r w:rsidR="000F5166">
        <w:rPr>
          <w:bCs/>
        </w:rPr>
        <w:t>55</w:t>
      </w:r>
      <w:r w:rsidR="00133B2F" w:rsidRPr="00F370D1">
        <w:rPr>
          <w:bCs/>
          <w:vertAlign w:val="superscript"/>
        </w:rPr>
        <w:t>e</w:t>
      </w:r>
      <w:r w:rsidR="00133B2F" w:rsidRPr="00F370D1">
        <w:rPr>
          <w:bCs/>
        </w:rPr>
        <w:t xml:space="preserve"> editie) voor vaklui en particulieren</w:t>
      </w:r>
    </w:p>
    <w:p w:rsidR="00E21D25" w:rsidRPr="00E21D25" w:rsidRDefault="006656D5" w:rsidP="00557D07">
      <w:pPr>
        <w:tabs>
          <w:tab w:val="left" w:pos="1985"/>
        </w:tabs>
        <w:spacing w:before="120" w:after="120"/>
        <w:ind w:left="1985" w:hanging="1985"/>
        <w:jc w:val="both"/>
        <w:rPr>
          <w:bCs/>
        </w:rPr>
      </w:pPr>
      <w:r w:rsidRPr="00F370D1">
        <w:rPr>
          <w:b/>
        </w:rPr>
        <w:t>Exposanten:</w:t>
      </w:r>
      <w:r w:rsidRPr="00F370D1">
        <w:tab/>
      </w:r>
      <w:r w:rsidR="00FD16FC">
        <w:rPr>
          <w:bCs/>
        </w:rPr>
        <w:t>2407</w:t>
      </w:r>
      <w:r w:rsidR="005A475F" w:rsidRPr="00F370D1">
        <w:rPr>
          <w:bCs/>
        </w:rPr>
        <w:t xml:space="preserve"> exposanten</w:t>
      </w:r>
      <w:r w:rsidR="00557D07">
        <w:rPr>
          <w:bCs/>
        </w:rPr>
        <w:t xml:space="preserve"> (</w:t>
      </w:r>
      <w:r w:rsidR="00AB2DAC" w:rsidRPr="00F370D1">
        <w:rPr>
          <w:bCs/>
        </w:rPr>
        <w:t xml:space="preserve">fabrikanten, </w:t>
      </w:r>
      <w:r w:rsidR="00D7090B" w:rsidRPr="00F370D1">
        <w:rPr>
          <w:bCs/>
        </w:rPr>
        <w:t xml:space="preserve">invoerders, exporteurs en verdelers </w:t>
      </w:r>
      <w:r w:rsidR="00AB2DAC" w:rsidRPr="00F370D1">
        <w:t xml:space="preserve">van </w:t>
      </w:r>
      <w:r w:rsidR="00557D07">
        <w:t>de bovengenoemde producten</w:t>
      </w:r>
      <w:r w:rsidR="00D7090B">
        <w:rPr>
          <w:bCs/>
        </w:rPr>
        <w:t xml:space="preserve">; </w:t>
      </w:r>
      <w:r w:rsidR="008569CD">
        <w:rPr>
          <w:bCs/>
        </w:rPr>
        <w:t xml:space="preserve">vakverenigingen; </w:t>
      </w:r>
      <w:r w:rsidR="005A475F">
        <w:rPr>
          <w:bCs/>
        </w:rPr>
        <w:t>vakpers</w:t>
      </w:r>
      <w:r w:rsidR="00557D07">
        <w:rPr>
          <w:bCs/>
        </w:rPr>
        <w:t>)</w:t>
      </w:r>
      <w:r w:rsidR="00D7090B">
        <w:rPr>
          <w:bCs/>
        </w:rPr>
        <w:t>.</w:t>
      </w:r>
    </w:p>
    <w:p w:rsidR="006656D5" w:rsidRPr="00EC3941" w:rsidRDefault="006656D5" w:rsidP="006656D5">
      <w:pPr>
        <w:tabs>
          <w:tab w:val="left" w:pos="1985"/>
        </w:tabs>
        <w:autoSpaceDE w:val="0"/>
        <w:autoSpaceDN w:val="0"/>
        <w:adjustRightInd w:val="0"/>
        <w:spacing w:after="120"/>
        <w:ind w:left="1985" w:hanging="1985"/>
      </w:pPr>
      <w:r>
        <w:rPr>
          <w:b/>
        </w:rPr>
        <w:t>FIT-deelname:</w:t>
      </w:r>
      <w:r w:rsidRPr="00EC3941">
        <w:tab/>
      </w:r>
      <w:r w:rsidR="00D7090B">
        <w:rPr>
          <w:bCs/>
        </w:rPr>
        <w:t>geen</w:t>
      </w:r>
    </w:p>
    <w:p w:rsidR="006656D5" w:rsidRPr="00C83AE7" w:rsidRDefault="006656D5" w:rsidP="006656D5">
      <w:pPr>
        <w:tabs>
          <w:tab w:val="left" w:pos="1985"/>
        </w:tabs>
        <w:spacing w:after="120"/>
        <w:ind w:left="1985" w:hanging="1985"/>
        <w:rPr>
          <w:bCs/>
        </w:rPr>
      </w:pPr>
      <w:r>
        <w:rPr>
          <w:b/>
        </w:rPr>
        <w:t>Bezoekers:</w:t>
      </w:r>
      <w:r w:rsidRPr="00EC3941">
        <w:tab/>
      </w:r>
      <w:r w:rsidR="000F5166">
        <w:rPr>
          <w:bCs/>
        </w:rPr>
        <w:t>372.151</w:t>
      </w:r>
      <w:r w:rsidR="005A475F">
        <w:rPr>
          <w:rStyle w:val="FootnoteReference"/>
          <w:bCs/>
        </w:rPr>
        <w:footnoteReference w:id="1"/>
      </w:r>
    </w:p>
    <w:p w:rsidR="006656D5" w:rsidRPr="00E21D25" w:rsidRDefault="006656D5" w:rsidP="008C2421">
      <w:pPr>
        <w:tabs>
          <w:tab w:val="left" w:pos="1985"/>
        </w:tabs>
        <w:spacing w:after="120"/>
        <w:ind w:left="1985" w:hanging="1985"/>
        <w:jc w:val="both"/>
        <w:rPr>
          <w:bCs/>
        </w:rPr>
      </w:pPr>
      <w:r w:rsidRPr="00C83AE7">
        <w:rPr>
          <w:bCs/>
        </w:rPr>
        <w:tab/>
      </w:r>
      <w:r w:rsidR="00E21D25">
        <w:rPr>
          <w:bCs/>
        </w:rPr>
        <w:t xml:space="preserve">Profiel bezoekers: </w:t>
      </w:r>
      <w:proofErr w:type="spellStart"/>
      <w:r w:rsidR="008569CD">
        <w:rPr>
          <w:bCs/>
        </w:rPr>
        <w:t>aankopers</w:t>
      </w:r>
      <w:proofErr w:type="spellEnd"/>
      <w:r w:rsidR="008569CD">
        <w:rPr>
          <w:bCs/>
        </w:rPr>
        <w:t xml:space="preserve"> en </w:t>
      </w:r>
      <w:proofErr w:type="spellStart"/>
      <w:r w:rsidR="008569CD">
        <w:rPr>
          <w:bCs/>
        </w:rPr>
        <w:t>purchasing</w:t>
      </w:r>
      <w:proofErr w:type="spellEnd"/>
      <w:r w:rsidR="00557D07">
        <w:rPr>
          <w:bCs/>
        </w:rPr>
        <w:t xml:space="preserve"> managers,</w:t>
      </w:r>
      <w:r w:rsidR="008C2421">
        <w:rPr>
          <w:bCs/>
        </w:rPr>
        <w:t xml:space="preserve"> </w:t>
      </w:r>
      <w:r w:rsidR="00BF3A3F">
        <w:rPr>
          <w:bCs/>
        </w:rPr>
        <w:t xml:space="preserve">vertegenwoordigers van </w:t>
      </w:r>
      <w:r w:rsidR="00557D07">
        <w:rPr>
          <w:bCs/>
        </w:rPr>
        <w:t>meubelbedrijven</w:t>
      </w:r>
      <w:r w:rsidR="008C2421">
        <w:rPr>
          <w:bCs/>
        </w:rPr>
        <w:t>,</w:t>
      </w:r>
      <w:r w:rsidR="00557D07">
        <w:rPr>
          <w:bCs/>
        </w:rPr>
        <w:t xml:space="preserve"> architecten, designers,</w:t>
      </w:r>
      <w:r w:rsidR="008C2421">
        <w:rPr>
          <w:bCs/>
        </w:rPr>
        <w:t xml:space="preserve"> leerlingen van </w:t>
      </w:r>
      <w:r w:rsidR="00557D07">
        <w:rPr>
          <w:bCs/>
        </w:rPr>
        <w:t>designscholen</w:t>
      </w:r>
      <w:r w:rsidR="008C2421">
        <w:rPr>
          <w:bCs/>
        </w:rPr>
        <w:t xml:space="preserve"> </w:t>
      </w:r>
      <w:r w:rsidR="00557D07">
        <w:rPr>
          <w:bCs/>
        </w:rPr>
        <w:t xml:space="preserve">en andere </w:t>
      </w:r>
      <w:r w:rsidR="00D6422A">
        <w:rPr>
          <w:bCs/>
        </w:rPr>
        <w:t>dergelijke</w:t>
      </w:r>
      <w:r w:rsidR="00557D07">
        <w:rPr>
          <w:bCs/>
        </w:rPr>
        <w:t xml:space="preserve"> </w:t>
      </w:r>
      <w:r w:rsidR="00D6422A">
        <w:rPr>
          <w:bCs/>
        </w:rPr>
        <w:t>instituten/opleidingen</w:t>
      </w:r>
      <w:r w:rsidR="008C2421">
        <w:rPr>
          <w:bCs/>
        </w:rPr>
        <w:t>.</w:t>
      </w:r>
    </w:p>
    <w:p w:rsidR="006656D5" w:rsidRPr="00EC3941" w:rsidRDefault="006656D5" w:rsidP="006656D5">
      <w:pPr>
        <w:tabs>
          <w:tab w:val="left" w:pos="1985"/>
        </w:tabs>
        <w:autoSpaceDE w:val="0"/>
        <w:autoSpaceDN w:val="0"/>
        <w:adjustRightInd w:val="0"/>
        <w:spacing w:after="120"/>
        <w:ind w:left="1985" w:hanging="1985"/>
      </w:pPr>
      <w:r>
        <w:rPr>
          <w:b/>
        </w:rPr>
        <w:t>Beurswebsite:</w:t>
      </w:r>
      <w:r w:rsidRPr="00EC3941">
        <w:tab/>
      </w:r>
      <w:hyperlink r:id="rId12" w:history="1">
        <w:r w:rsidR="00D6422A" w:rsidRPr="00F104A9">
          <w:rPr>
            <w:rStyle w:val="Hyperlink"/>
          </w:rPr>
          <w:t>https://www.salonemilano.it</w:t>
        </w:r>
      </w:hyperlink>
      <w:r w:rsidR="00D6422A">
        <w:t xml:space="preserve"> </w:t>
      </w:r>
      <w:r w:rsidR="008C2421">
        <w:t xml:space="preserve"> </w:t>
      </w:r>
    </w:p>
    <w:p w:rsidR="006656D5" w:rsidRPr="00EC3941" w:rsidRDefault="006656D5" w:rsidP="006656D5">
      <w:pPr>
        <w:tabs>
          <w:tab w:val="left" w:pos="1985"/>
        </w:tabs>
        <w:autoSpaceDE w:val="0"/>
        <w:autoSpaceDN w:val="0"/>
        <w:adjustRightInd w:val="0"/>
        <w:spacing w:after="120"/>
        <w:ind w:left="1985" w:hanging="1985"/>
      </w:pPr>
      <w:r>
        <w:rPr>
          <w:b/>
        </w:rPr>
        <w:t>Exposantenlijst:</w:t>
      </w:r>
      <w:r w:rsidRPr="00EC3941">
        <w:tab/>
      </w:r>
      <w:hyperlink r:id="rId13" w:history="1">
        <w:r w:rsidR="0041416E" w:rsidRPr="0041416E">
          <w:rPr>
            <w:rStyle w:val="Hyperlink"/>
            <w:bCs/>
          </w:rPr>
          <w:t>online beschikbaar</w:t>
        </w:r>
      </w:hyperlink>
    </w:p>
    <w:p w:rsidR="006656D5" w:rsidRDefault="008C2421" w:rsidP="006656D5">
      <w:pPr>
        <w:tabs>
          <w:tab w:val="left" w:pos="1985"/>
        </w:tabs>
        <w:autoSpaceDE w:val="0"/>
        <w:autoSpaceDN w:val="0"/>
        <w:adjustRightInd w:val="0"/>
        <w:spacing w:after="120"/>
        <w:ind w:left="1985" w:hanging="1985"/>
        <w:rPr>
          <w:bCs/>
        </w:rPr>
        <w:sectPr w:rsidR="006656D5" w:rsidSect="006656D5">
          <w:type w:val="continuous"/>
          <w:pgSz w:w="11906" w:h="16838"/>
          <w:pgMar w:top="1417" w:right="1417" w:bottom="1417" w:left="1417" w:header="708" w:footer="708" w:gutter="0"/>
          <w:cols w:space="708"/>
          <w:titlePg/>
          <w:docGrid w:linePitch="360"/>
        </w:sectPr>
      </w:pPr>
      <w:r>
        <w:rPr>
          <w:b/>
        </w:rPr>
        <w:t>V</w:t>
      </w:r>
      <w:r w:rsidR="006656D5">
        <w:rPr>
          <w:b/>
        </w:rPr>
        <w:t>olgende editie:</w:t>
      </w:r>
      <w:r>
        <w:rPr>
          <w:b/>
        </w:rPr>
        <w:tab/>
      </w:r>
      <w:r w:rsidR="004704E1" w:rsidRPr="004704E1">
        <w:t>4-9</w:t>
      </w:r>
      <w:r w:rsidR="004704E1">
        <w:rPr>
          <w:b/>
        </w:rPr>
        <w:t xml:space="preserve"> </w:t>
      </w:r>
      <w:r w:rsidR="00D6422A">
        <w:t>april 2017</w:t>
      </w:r>
      <w:r w:rsidR="0041416E">
        <w:rPr>
          <w:bCs/>
        </w:rPr>
        <w:t xml:space="preserve">      </w:t>
      </w:r>
    </w:p>
    <w:p w:rsidR="006656D5" w:rsidRPr="009A6585" w:rsidRDefault="006656D5" w:rsidP="009A6585">
      <w:pPr>
        <w:pStyle w:val="Heading1"/>
      </w:pPr>
      <w:r w:rsidRPr="009A6585">
        <w:lastRenderedPageBreak/>
        <w:t>Trends en appreciatie van de beurs</w:t>
      </w:r>
    </w:p>
    <w:p w:rsidR="006656D5" w:rsidRPr="006656D5" w:rsidRDefault="006656D5" w:rsidP="006656D5">
      <w:pPr>
        <w:pStyle w:val="Heading2"/>
      </w:pPr>
      <w:r w:rsidRPr="006656D5">
        <w:t xml:space="preserve">Belang van de beurs </w:t>
      </w:r>
    </w:p>
    <w:p w:rsidR="006656D5" w:rsidRDefault="00D6422A" w:rsidP="00806E23">
      <w:pPr>
        <w:pStyle w:val="NoSpacing"/>
        <w:jc w:val="both"/>
        <w:rPr>
          <w:lang w:val="nl-BE"/>
        </w:rPr>
      </w:pPr>
      <w:r>
        <w:rPr>
          <w:lang w:val="nl-BE"/>
        </w:rPr>
        <w:t xml:space="preserve">Het Salone del Mobile te Milaan </w:t>
      </w:r>
      <w:r w:rsidRPr="004A60BB">
        <w:rPr>
          <w:lang w:val="nl-BE"/>
        </w:rPr>
        <w:t>is de belangrijkste beurs ter wereld wat de design- en meubel</w:t>
      </w:r>
      <w:r w:rsidR="002A2ACA" w:rsidRPr="004A60BB">
        <w:rPr>
          <w:lang w:val="nl-BE"/>
        </w:rPr>
        <w:t>sector</w:t>
      </w:r>
      <w:r w:rsidRPr="004A60BB">
        <w:rPr>
          <w:lang w:val="nl-BE"/>
        </w:rPr>
        <w:t xml:space="preserve"> be</w:t>
      </w:r>
      <w:r w:rsidR="00A85F29">
        <w:rPr>
          <w:lang w:val="nl-BE"/>
        </w:rPr>
        <w:t>treft. Samen met het salon vinden</w:t>
      </w:r>
      <w:r w:rsidRPr="004A60BB">
        <w:rPr>
          <w:lang w:val="nl-BE"/>
        </w:rPr>
        <w:t xml:space="preserve"> een enorm aantal exposities en events plaats</w:t>
      </w:r>
      <w:r w:rsidR="00967524" w:rsidRPr="004A60BB">
        <w:rPr>
          <w:lang w:val="nl-BE"/>
        </w:rPr>
        <w:t xml:space="preserve"> –</w:t>
      </w:r>
      <w:r w:rsidR="00BB6CDB" w:rsidRPr="004A60BB">
        <w:rPr>
          <w:lang w:val="nl-BE"/>
        </w:rPr>
        <w:t xml:space="preserve"> alle initiatieven worden gegroepeerd onder de naam van Milan Design Week. Dit jaar boekte het Salone een </w:t>
      </w:r>
      <w:r w:rsidR="004704E1" w:rsidRPr="004A60BB">
        <w:rPr>
          <w:lang w:val="nl-BE"/>
        </w:rPr>
        <w:t>ontzettend</w:t>
      </w:r>
      <w:r w:rsidR="00BB6CDB" w:rsidRPr="004A60BB">
        <w:rPr>
          <w:lang w:val="nl-BE"/>
        </w:rPr>
        <w:t xml:space="preserve"> succes: mee</w:t>
      </w:r>
      <w:r w:rsidR="004704E1" w:rsidRPr="004A60BB">
        <w:rPr>
          <w:lang w:val="nl-BE"/>
        </w:rPr>
        <w:t>r dan 33</w:t>
      </w:r>
      <w:r w:rsidR="00BB6CDB" w:rsidRPr="004A60BB">
        <w:rPr>
          <w:lang w:val="nl-BE"/>
        </w:rPr>
        <w:t xml:space="preserve">0.000 operatoren stroomden het beurscomplex in Rho </w:t>
      </w:r>
      <w:proofErr w:type="spellStart"/>
      <w:r w:rsidR="00BB6CDB" w:rsidRPr="004A60BB">
        <w:rPr>
          <w:lang w:val="nl-BE"/>
        </w:rPr>
        <w:t>Fiera</w:t>
      </w:r>
      <w:proofErr w:type="spellEnd"/>
      <w:r w:rsidR="00BB6CDB" w:rsidRPr="004A60BB">
        <w:rPr>
          <w:lang w:val="nl-BE"/>
        </w:rPr>
        <w:t xml:space="preserve"> binnen en ongeveer 40.000 particulieren bezochten het salon </w:t>
      </w:r>
      <w:r w:rsidR="004704E1" w:rsidRPr="004A60BB">
        <w:rPr>
          <w:lang w:val="nl-BE"/>
        </w:rPr>
        <w:t>op zaterdag 16 en zondag 17 april, toen het Salone open</w:t>
      </w:r>
      <w:r w:rsidR="002A2ACA" w:rsidRPr="004A60BB">
        <w:rPr>
          <w:lang w:val="nl-BE"/>
        </w:rPr>
        <w:t xml:space="preserve"> was</w:t>
      </w:r>
      <w:r w:rsidR="004704E1" w:rsidRPr="004A60BB">
        <w:rPr>
          <w:lang w:val="nl-BE"/>
        </w:rPr>
        <w:t xml:space="preserve"> </w:t>
      </w:r>
      <w:r w:rsidR="002A2ACA" w:rsidRPr="004A60BB">
        <w:rPr>
          <w:lang w:val="nl-BE"/>
        </w:rPr>
        <w:t>voor het groot publiek</w:t>
      </w:r>
      <w:r w:rsidR="004704E1" w:rsidRPr="004A60BB">
        <w:rPr>
          <w:lang w:val="nl-BE"/>
        </w:rPr>
        <w:t>.</w:t>
      </w:r>
      <w:r w:rsidR="00A85F29">
        <w:rPr>
          <w:lang w:val="nl-BE"/>
        </w:rPr>
        <w:t xml:space="preserve"> De design</w:t>
      </w:r>
      <w:r w:rsidR="002A2ACA" w:rsidRPr="004A60BB">
        <w:rPr>
          <w:lang w:val="nl-BE"/>
        </w:rPr>
        <w:t xml:space="preserve">districten </w:t>
      </w:r>
      <w:r w:rsidR="00E53303" w:rsidRPr="004A60BB">
        <w:rPr>
          <w:lang w:val="nl-BE"/>
        </w:rPr>
        <w:t>van Milaan waren ook zeer</w:t>
      </w:r>
      <w:r w:rsidR="00A85F29">
        <w:rPr>
          <w:lang w:val="nl-BE"/>
        </w:rPr>
        <w:t xml:space="preserve"> bevolkt d</w:t>
      </w:r>
      <w:r w:rsidR="00E53303" w:rsidRPr="004A60BB">
        <w:rPr>
          <w:lang w:val="nl-BE"/>
        </w:rPr>
        <w:t>oor de initiati</w:t>
      </w:r>
      <w:r w:rsidR="00A85F29">
        <w:rPr>
          <w:lang w:val="nl-BE"/>
        </w:rPr>
        <w:t xml:space="preserve">even van het </w:t>
      </w:r>
      <w:proofErr w:type="spellStart"/>
      <w:r w:rsidR="00A85F29">
        <w:rPr>
          <w:lang w:val="nl-BE"/>
        </w:rPr>
        <w:t>FuoriSalone</w:t>
      </w:r>
      <w:proofErr w:type="spellEnd"/>
      <w:r w:rsidR="00A85F29">
        <w:rPr>
          <w:lang w:val="nl-BE"/>
        </w:rPr>
        <w:t>, waarbij</w:t>
      </w:r>
      <w:r w:rsidR="00E53303" w:rsidRPr="004A60BB">
        <w:rPr>
          <w:lang w:val="nl-BE"/>
        </w:rPr>
        <w:t xml:space="preserve"> jonge designers en performers uit de hele wereld hun artistieke </w:t>
      </w:r>
      <w:r w:rsidR="00967524" w:rsidRPr="004A60BB">
        <w:rPr>
          <w:lang w:val="nl-BE"/>
        </w:rPr>
        <w:t>installaties</w:t>
      </w:r>
      <w:r w:rsidR="00E53303" w:rsidRPr="004A60BB">
        <w:rPr>
          <w:lang w:val="nl-BE"/>
        </w:rPr>
        <w:t xml:space="preserve"> voorstelden.</w:t>
      </w:r>
    </w:p>
    <w:p w:rsidR="006656D5" w:rsidRDefault="006656D5" w:rsidP="006656D5">
      <w:pPr>
        <w:pStyle w:val="Heading2"/>
      </w:pPr>
      <w:r>
        <w:t>Evolutie van de beurs</w:t>
      </w:r>
    </w:p>
    <w:p w:rsidR="00BC312C" w:rsidRDefault="00E53303" w:rsidP="003273B4">
      <w:pPr>
        <w:pStyle w:val="NoSpacing"/>
        <w:jc w:val="both"/>
        <w:rPr>
          <w:lang w:val="nl-BE"/>
        </w:rPr>
      </w:pPr>
      <w:r>
        <w:rPr>
          <w:lang w:val="nl-BE"/>
        </w:rPr>
        <w:t>Het Salone del Mobile</w:t>
      </w:r>
      <w:r w:rsidR="002B3CB6">
        <w:rPr>
          <w:lang w:val="nl-BE"/>
        </w:rPr>
        <w:t xml:space="preserve"> vond</w:t>
      </w:r>
      <w:r w:rsidR="003273B4">
        <w:rPr>
          <w:lang w:val="nl-BE"/>
        </w:rPr>
        <w:t xml:space="preserve"> dit jaar plaats voor de </w:t>
      </w:r>
      <w:r>
        <w:rPr>
          <w:lang w:val="nl-BE"/>
        </w:rPr>
        <w:t>vijfenvijftigste</w:t>
      </w:r>
      <w:r w:rsidR="00BC312C">
        <w:rPr>
          <w:lang w:val="nl-BE"/>
        </w:rPr>
        <w:t xml:space="preserve"> keer</w:t>
      </w:r>
      <w:r w:rsidR="003273B4">
        <w:rPr>
          <w:lang w:val="nl-BE"/>
        </w:rPr>
        <w:t xml:space="preserve">. </w:t>
      </w:r>
      <w:r w:rsidR="004700A1">
        <w:rPr>
          <w:lang w:val="nl-BE"/>
        </w:rPr>
        <w:t xml:space="preserve">In vergelijking met </w:t>
      </w:r>
      <w:r>
        <w:rPr>
          <w:lang w:val="nl-BE"/>
        </w:rPr>
        <w:t>het aantal bezoekers van de</w:t>
      </w:r>
      <w:r w:rsidR="002B3CB6">
        <w:rPr>
          <w:lang w:val="nl-BE"/>
        </w:rPr>
        <w:t xml:space="preserve"> vorige edities, tonen de cijfers van 2016 een </w:t>
      </w:r>
      <w:r>
        <w:rPr>
          <w:lang w:val="nl-BE"/>
        </w:rPr>
        <w:t>record</w:t>
      </w:r>
      <w:r w:rsidR="004700A1">
        <w:rPr>
          <w:lang w:val="nl-BE"/>
        </w:rPr>
        <w:t>:</w:t>
      </w:r>
    </w:p>
    <w:tbl>
      <w:tblPr>
        <w:tblStyle w:val="GridTable2-Accent5"/>
        <w:tblW w:w="0" w:type="auto"/>
        <w:tblLook w:val="04A0" w:firstRow="1" w:lastRow="0" w:firstColumn="1" w:lastColumn="0" w:noHBand="0" w:noVBand="1"/>
      </w:tblPr>
      <w:tblGrid>
        <w:gridCol w:w="1828"/>
        <w:gridCol w:w="1233"/>
        <w:gridCol w:w="1417"/>
        <w:gridCol w:w="1562"/>
        <w:gridCol w:w="1470"/>
        <w:gridCol w:w="1562"/>
      </w:tblGrid>
      <w:tr w:rsidR="00E168DE" w:rsidTr="00E168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8" w:type="dxa"/>
          </w:tcPr>
          <w:p w:rsidR="00E168DE" w:rsidRDefault="00E168DE" w:rsidP="009F56A4">
            <w:pPr>
              <w:pStyle w:val="NoSpacing"/>
              <w:rPr>
                <w:lang w:val="nl-BE"/>
              </w:rPr>
            </w:pPr>
          </w:p>
        </w:tc>
        <w:tc>
          <w:tcPr>
            <w:tcW w:w="1233" w:type="dxa"/>
          </w:tcPr>
          <w:p w:rsidR="00E168DE" w:rsidRDefault="004704E1" w:rsidP="009F56A4">
            <w:pPr>
              <w:pStyle w:val="NoSpacing"/>
              <w:cnfStyle w:val="100000000000" w:firstRow="1" w:lastRow="0" w:firstColumn="0" w:lastColumn="0" w:oddVBand="0" w:evenVBand="0" w:oddHBand="0" w:evenHBand="0" w:firstRowFirstColumn="0" w:firstRowLastColumn="0" w:lastRowFirstColumn="0" w:lastRowLastColumn="0"/>
              <w:rPr>
                <w:lang w:val="nl-BE"/>
              </w:rPr>
            </w:pPr>
            <w:r>
              <w:rPr>
                <w:lang w:val="nl-BE"/>
              </w:rPr>
              <w:t>2012</w:t>
            </w:r>
          </w:p>
        </w:tc>
        <w:tc>
          <w:tcPr>
            <w:tcW w:w="1417" w:type="dxa"/>
          </w:tcPr>
          <w:p w:rsidR="00E168DE" w:rsidRDefault="004704E1" w:rsidP="009F56A4">
            <w:pPr>
              <w:pStyle w:val="NoSpacing"/>
              <w:cnfStyle w:val="100000000000" w:firstRow="1" w:lastRow="0" w:firstColumn="0" w:lastColumn="0" w:oddVBand="0" w:evenVBand="0" w:oddHBand="0" w:evenHBand="0" w:firstRowFirstColumn="0" w:firstRowLastColumn="0" w:lastRowFirstColumn="0" w:lastRowLastColumn="0"/>
              <w:rPr>
                <w:lang w:val="nl-BE"/>
              </w:rPr>
            </w:pPr>
            <w:r>
              <w:rPr>
                <w:lang w:val="nl-BE"/>
              </w:rPr>
              <w:t>2013</w:t>
            </w:r>
          </w:p>
        </w:tc>
        <w:tc>
          <w:tcPr>
            <w:tcW w:w="1562" w:type="dxa"/>
          </w:tcPr>
          <w:p w:rsidR="00E168DE" w:rsidRDefault="004704E1" w:rsidP="009F56A4">
            <w:pPr>
              <w:pStyle w:val="NoSpacing"/>
              <w:cnfStyle w:val="100000000000" w:firstRow="1" w:lastRow="0" w:firstColumn="0" w:lastColumn="0" w:oddVBand="0" w:evenVBand="0" w:oddHBand="0" w:evenHBand="0" w:firstRowFirstColumn="0" w:firstRowLastColumn="0" w:lastRowFirstColumn="0" w:lastRowLastColumn="0"/>
              <w:rPr>
                <w:lang w:val="nl-BE"/>
              </w:rPr>
            </w:pPr>
            <w:r>
              <w:rPr>
                <w:lang w:val="nl-BE"/>
              </w:rPr>
              <w:t>2014</w:t>
            </w:r>
          </w:p>
        </w:tc>
        <w:tc>
          <w:tcPr>
            <w:tcW w:w="1470" w:type="dxa"/>
          </w:tcPr>
          <w:p w:rsidR="00E168DE" w:rsidRDefault="004704E1" w:rsidP="009F56A4">
            <w:pPr>
              <w:pStyle w:val="NoSpacing"/>
              <w:cnfStyle w:val="100000000000" w:firstRow="1" w:lastRow="0" w:firstColumn="0" w:lastColumn="0" w:oddVBand="0" w:evenVBand="0" w:oddHBand="0" w:evenHBand="0" w:firstRowFirstColumn="0" w:firstRowLastColumn="0" w:lastRowFirstColumn="0" w:lastRowLastColumn="0"/>
              <w:rPr>
                <w:lang w:val="nl-BE"/>
              </w:rPr>
            </w:pPr>
            <w:r>
              <w:rPr>
                <w:lang w:val="nl-BE"/>
              </w:rPr>
              <w:t>2015</w:t>
            </w:r>
          </w:p>
        </w:tc>
        <w:tc>
          <w:tcPr>
            <w:tcW w:w="1562" w:type="dxa"/>
          </w:tcPr>
          <w:p w:rsidR="00E168DE" w:rsidRDefault="00E168DE" w:rsidP="009F56A4">
            <w:pPr>
              <w:pStyle w:val="NoSpacing"/>
              <w:cnfStyle w:val="100000000000" w:firstRow="1" w:lastRow="0" w:firstColumn="0" w:lastColumn="0" w:oddVBand="0" w:evenVBand="0" w:oddHBand="0" w:evenHBand="0" w:firstRowFirstColumn="0" w:firstRowLastColumn="0" w:lastRowFirstColumn="0" w:lastRowLastColumn="0"/>
              <w:rPr>
                <w:lang w:val="nl-BE"/>
              </w:rPr>
            </w:pPr>
            <w:r>
              <w:rPr>
                <w:lang w:val="nl-BE"/>
              </w:rPr>
              <w:t>2016</w:t>
            </w:r>
          </w:p>
        </w:tc>
      </w:tr>
      <w:tr w:rsidR="00E168DE" w:rsidTr="00E16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8" w:type="dxa"/>
          </w:tcPr>
          <w:p w:rsidR="00E168DE" w:rsidRDefault="00E168DE" w:rsidP="009F56A4">
            <w:pPr>
              <w:pStyle w:val="NoSpacing"/>
              <w:rPr>
                <w:lang w:val="nl-BE"/>
              </w:rPr>
            </w:pPr>
            <w:r>
              <w:rPr>
                <w:lang w:val="nl-BE"/>
              </w:rPr>
              <w:t>Bezoekers</w:t>
            </w:r>
          </w:p>
        </w:tc>
        <w:tc>
          <w:tcPr>
            <w:tcW w:w="1233" w:type="dxa"/>
          </w:tcPr>
          <w:p w:rsidR="00E168DE" w:rsidRDefault="004704E1" w:rsidP="009F56A4">
            <w:pPr>
              <w:pStyle w:val="NoSpacing"/>
              <w:cnfStyle w:val="000000100000" w:firstRow="0" w:lastRow="0" w:firstColumn="0" w:lastColumn="0" w:oddVBand="0" w:evenVBand="0" w:oddHBand="1" w:evenHBand="0" w:firstRowFirstColumn="0" w:firstRowLastColumn="0" w:lastRowFirstColumn="0" w:lastRowLastColumn="0"/>
              <w:rPr>
                <w:lang w:val="nl-BE"/>
              </w:rPr>
            </w:pPr>
            <w:r>
              <w:rPr>
                <w:lang w:val="nl-BE"/>
              </w:rPr>
              <w:t>331.649</w:t>
            </w:r>
          </w:p>
        </w:tc>
        <w:tc>
          <w:tcPr>
            <w:tcW w:w="1417" w:type="dxa"/>
          </w:tcPr>
          <w:p w:rsidR="00E168DE" w:rsidRDefault="004704E1" w:rsidP="009F56A4">
            <w:pPr>
              <w:pStyle w:val="NoSpacing"/>
              <w:cnfStyle w:val="000000100000" w:firstRow="0" w:lastRow="0" w:firstColumn="0" w:lastColumn="0" w:oddVBand="0" w:evenVBand="0" w:oddHBand="1" w:evenHBand="0" w:firstRowFirstColumn="0" w:firstRowLastColumn="0" w:lastRowFirstColumn="0" w:lastRowLastColumn="0"/>
              <w:rPr>
                <w:lang w:val="nl-BE"/>
              </w:rPr>
            </w:pPr>
            <w:r>
              <w:rPr>
                <w:lang w:val="nl-BE"/>
              </w:rPr>
              <w:t>324.093</w:t>
            </w:r>
          </w:p>
        </w:tc>
        <w:tc>
          <w:tcPr>
            <w:tcW w:w="1562" w:type="dxa"/>
          </w:tcPr>
          <w:p w:rsidR="00E168DE" w:rsidRDefault="004704E1" w:rsidP="009F56A4">
            <w:pPr>
              <w:pStyle w:val="NoSpacing"/>
              <w:cnfStyle w:val="000000100000" w:firstRow="0" w:lastRow="0" w:firstColumn="0" w:lastColumn="0" w:oddVBand="0" w:evenVBand="0" w:oddHBand="1" w:evenHBand="0" w:firstRowFirstColumn="0" w:firstRowLastColumn="0" w:lastRowFirstColumn="0" w:lastRowLastColumn="0"/>
              <w:rPr>
                <w:lang w:val="nl-BE"/>
              </w:rPr>
            </w:pPr>
            <w:r>
              <w:rPr>
                <w:lang w:val="nl-BE"/>
              </w:rPr>
              <w:t>357.212</w:t>
            </w:r>
          </w:p>
        </w:tc>
        <w:tc>
          <w:tcPr>
            <w:tcW w:w="1470" w:type="dxa"/>
          </w:tcPr>
          <w:p w:rsidR="00E168DE" w:rsidRDefault="004704E1" w:rsidP="009F56A4">
            <w:pPr>
              <w:pStyle w:val="NoSpacing"/>
              <w:cnfStyle w:val="000000100000" w:firstRow="0" w:lastRow="0" w:firstColumn="0" w:lastColumn="0" w:oddVBand="0" w:evenVBand="0" w:oddHBand="1" w:evenHBand="0" w:firstRowFirstColumn="0" w:firstRowLastColumn="0" w:lastRowFirstColumn="0" w:lastRowLastColumn="0"/>
              <w:rPr>
                <w:lang w:val="nl-BE"/>
              </w:rPr>
            </w:pPr>
            <w:r>
              <w:rPr>
                <w:lang w:val="nl-BE"/>
              </w:rPr>
              <w:t>310.840</w:t>
            </w:r>
          </w:p>
        </w:tc>
        <w:tc>
          <w:tcPr>
            <w:tcW w:w="1562" w:type="dxa"/>
          </w:tcPr>
          <w:p w:rsidR="00E168DE" w:rsidRDefault="00E53303" w:rsidP="009F56A4">
            <w:pPr>
              <w:pStyle w:val="NoSpacing"/>
              <w:cnfStyle w:val="000000100000" w:firstRow="0" w:lastRow="0" w:firstColumn="0" w:lastColumn="0" w:oddVBand="0" w:evenVBand="0" w:oddHBand="1" w:evenHBand="0" w:firstRowFirstColumn="0" w:firstRowLastColumn="0" w:lastRowFirstColumn="0" w:lastRowLastColumn="0"/>
              <w:rPr>
                <w:lang w:val="nl-BE"/>
              </w:rPr>
            </w:pPr>
            <w:r>
              <w:rPr>
                <w:lang w:val="nl-BE"/>
              </w:rPr>
              <w:t>372.151</w:t>
            </w:r>
          </w:p>
        </w:tc>
      </w:tr>
      <w:tr w:rsidR="00E168DE" w:rsidTr="00E168DE">
        <w:tc>
          <w:tcPr>
            <w:cnfStyle w:val="001000000000" w:firstRow="0" w:lastRow="0" w:firstColumn="1" w:lastColumn="0" w:oddVBand="0" w:evenVBand="0" w:oddHBand="0" w:evenHBand="0" w:firstRowFirstColumn="0" w:firstRowLastColumn="0" w:lastRowFirstColumn="0" w:lastRowLastColumn="0"/>
            <w:tcW w:w="1828" w:type="dxa"/>
          </w:tcPr>
          <w:p w:rsidR="00E168DE" w:rsidRDefault="00E168DE" w:rsidP="009F56A4">
            <w:pPr>
              <w:pStyle w:val="NoSpacing"/>
              <w:rPr>
                <w:lang w:val="nl-BE"/>
              </w:rPr>
            </w:pPr>
            <w:r>
              <w:rPr>
                <w:lang w:val="nl-BE"/>
              </w:rPr>
              <w:t>Exposanten</w:t>
            </w:r>
          </w:p>
        </w:tc>
        <w:tc>
          <w:tcPr>
            <w:tcW w:w="1233" w:type="dxa"/>
          </w:tcPr>
          <w:p w:rsidR="00E168DE" w:rsidRDefault="004704E1" w:rsidP="009F56A4">
            <w:pPr>
              <w:pStyle w:val="NoSpacing"/>
              <w:cnfStyle w:val="000000000000" w:firstRow="0" w:lastRow="0" w:firstColumn="0" w:lastColumn="0" w:oddVBand="0" w:evenVBand="0" w:oddHBand="0" w:evenHBand="0" w:firstRowFirstColumn="0" w:firstRowLastColumn="0" w:lastRowFirstColumn="0" w:lastRowLastColumn="0"/>
              <w:rPr>
                <w:lang w:val="nl-BE"/>
              </w:rPr>
            </w:pPr>
            <w:r>
              <w:rPr>
                <w:lang w:val="nl-BE"/>
              </w:rPr>
              <w:t>27</w:t>
            </w:r>
            <w:r w:rsidR="00E168DE">
              <w:rPr>
                <w:lang w:val="nl-BE"/>
              </w:rPr>
              <w:t>00</w:t>
            </w:r>
          </w:p>
        </w:tc>
        <w:tc>
          <w:tcPr>
            <w:tcW w:w="1417" w:type="dxa"/>
          </w:tcPr>
          <w:p w:rsidR="00E168DE" w:rsidRDefault="00E168DE" w:rsidP="004704E1">
            <w:pPr>
              <w:pStyle w:val="NoSpacing"/>
              <w:cnfStyle w:val="000000000000" w:firstRow="0" w:lastRow="0" w:firstColumn="0" w:lastColumn="0" w:oddVBand="0" w:evenVBand="0" w:oddHBand="0" w:evenHBand="0" w:firstRowFirstColumn="0" w:firstRowLastColumn="0" w:lastRowFirstColumn="0" w:lastRowLastColumn="0"/>
              <w:rPr>
                <w:lang w:val="nl-BE"/>
              </w:rPr>
            </w:pPr>
            <w:r>
              <w:rPr>
                <w:lang w:val="nl-BE"/>
              </w:rPr>
              <w:t>2</w:t>
            </w:r>
            <w:r w:rsidR="004704E1">
              <w:rPr>
                <w:lang w:val="nl-BE"/>
              </w:rPr>
              <w:t>5</w:t>
            </w:r>
            <w:r>
              <w:rPr>
                <w:lang w:val="nl-BE"/>
              </w:rPr>
              <w:t>00</w:t>
            </w:r>
          </w:p>
        </w:tc>
        <w:tc>
          <w:tcPr>
            <w:tcW w:w="1562" w:type="dxa"/>
          </w:tcPr>
          <w:p w:rsidR="00E168DE" w:rsidRDefault="00E53303" w:rsidP="009F56A4">
            <w:pPr>
              <w:pStyle w:val="NoSpacing"/>
              <w:cnfStyle w:val="000000000000" w:firstRow="0" w:lastRow="0" w:firstColumn="0" w:lastColumn="0" w:oddVBand="0" w:evenVBand="0" w:oddHBand="0" w:evenHBand="0" w:firstRowFirstColumn="0" w:firstRowLastColumn="0" w:lastRowFirstColumn="0" w:lastRowLastColumn="0"/>
              <w:rPr>
                <w:lang w:val="nl-BE"/>
              </w:rPr>
            </w:pPr>
            <w:r>
              <w:rPr>
                <w:lang w:val="nl-BE"/>
              </w:rPr>
              <w:t>1750</w:t>
            </w:r>
          </w:p>
        </w:tc>
        <w:tc>
          <w:tcPr>
            <w:tcW w:w="1470" w:type="dxa"/>
          </w:tcPr>
          <w:p w:rsidR="00E168DE" w:rsidRDefault="00E53303" w:rsidP="009F56A4">
            <w:pPr>
              <w:pStyle w:val="NoSpacing"/>
              <w:cnfStyle w:val="000000000000" w:firstRow="0" w:lastRow="0" w:firstColumn="0" w:lastColumn="0" w:oddVBand="0" w:evenVBand="0" w:oddHBand="0" w:evenHBand="0" w:firstRowFirstColumn="0" w:firstRowLastColumn="0" w:lastRowFirstColumn="0" w:lastRowLastColumn="0"/>
              <w:rPr>
                <w:lang w:val="nl-BE"/>
              </w:rPr>
            </w:pPr>
            <w:r>
              <w:rPr>
                <w:lang w:val="nl-BE"/>
              </w:rPr>
              <w:t>200</w:t>
            </w:r>
            <w:r w:rsidR="00E168DE">
              <w:rPr>
                <w:lang w:val="nl-BE"/>
              </w:rPr>
              <w:t>0</w:t>
            </w:r>
          </w:p>
        </w:tc>
        <w:tc>
          <w:tcPr>
            <w:tcW w:w="1562" w:type="dxa"/>
          </w:tcPr>
          <w:p w:rsidR="00E168DE" w:rsidRDefault="00E168DE" w:rsidP="009F56A4">
            <w:pPr>
              <w:pStyle w:val="NoSpacing"/>
              <w:cnfStyle w:val="000000000000" w:firstRow="0" w:lastRow="0" w:firstColumn="0" w:lastColumn="0" w:oddVBand="0" w:evenVBand="0" w:oddHBand="0" w:evenHBand="0" w:firstRowFirstColumn="0" w:firstRowLastColumn="0" w:lastRowFirstColumn="0" w:lastRowLastColumn="0"/>
              <w:rPr>
                <w:lang w:val="nl-BE"/>
              </w:rPr>
            </w:pPr>
            <w:r>
              <w:rPr>
                <w:lang w:val="nl-BE"/>
              </w:rPr>
              <w:t>2100</w:t>
            </w:r>
          </w:p>
        </w:tc>
      </w:tr>
    </w:tbl>
    <w:p w:rsidR="00BC312C" w:rsidRPr="00C076F9" w:rsidRDefault="00BC312C" w:rsidP="003273B4">
      <w:pPr>
        <w:pStyle w:val="NoSpacing"/>
        <w:jc w:val="both"/>
        <w:rPr>
          <w:lang w:val="nl-BE"/>
        </w:rPr>
      </w:pPr>
    </w:p>
    <w:p w:rsidR="00733321" w:rsidRDefault="00967524" w:rsidP="0083773C">
      <w:pPr>
        <w:pStyle w:val="NoSpacing"/>
        <w:numPr>
          <w:ilvl w:val="0"/>
          <w:numId w:val="7"/>
        </w:numPr>
        <w:jc w:val="both"/>
        <w:rPr>
          <w:lang w:val="nl-BE"/>
        </w:rPr>
      </w:pPr>
      <w:r>
        <w:rPr>
          <w:lang w:val="nl-BE"/>
        </w:rPr>
        <w:t xml:space="preserve">Volgens de </w:t>
      </w:r>
      <w:r w:rsidRPr="004A60BB">
        <w:rPr>
          <w:lang w:val="nl-BE"/>
        </w:rPr>
        <w:t xml:space="preserve">schattingen van de vakvereniging </w:t>
      </w:r>
      <w:proofErr w:type="spellStart"/>
      <w:r w:rsidRPr="004A60BB">
        <w:rPr>
          <w:lang w:val="nl-BE"/>
        </w:rPr>
        <w:t>FederlegnoArredo</w:t>
      </w:r>
      <w:proofErr w:type="spellEnd"/>
      <w:r w:rsidRPr="004A60BB">
        <w:rPr>
          <w:lang w:val="nl-BE"/>
        </w:rPr>
        <w:t xml:space="preserve"> (</w:t>
      </w:r>
      <w:proofErr w:type="spellStart"/>
      <w:r w:rsidRPr="004A60BB">
        <w:rPr>
          <w:lang w:val="nl-BE"/>
        </w:rPr>
        <w:t>Fla</w:t>
      </w:r>
      <w:proofErr w:type="spellEnd"/>
      <w:r w:rsidRPr="004A60BB">
        <w:rPr>
          <w:lang w:val="nl-BE"/>
        </w:rPr>
        <w:t xml:space="preserve">) </w:t>
      </w:r>
      <w:r w:rsidR="002A2ACA" w:rsidRPr="004A60BB">
        <w:rPr>
          <w:lang w:val="nl-BE"/>
        </w:rPr>
        <w:t xml:space="preserve">kent de Italiaanse meubelsector </w:t>
      </w:r>
      <w:r w:rsidRPr="004A60BB">
        <w:rPr>
          <w:lang w:val="nl-BE"/>
        </w:rPr>
        <w:t xml:space="preserve">eindelijk </w:t>
      </w:r>
      <w:r w:rsidR="002A2ACA" w:rsidRPr="004A60BB">
        <w:rPr>
          <w:lang w:val="nl-BE"/>
        </w:rPr>
        <w:t>een groei,</w:t>
      </w:r>
      <w:r w:rsidRPr="004A60BB">
        <w:rPr>
          <w:lang w:val="nl-BE"/>
        </w:rPr>
        <w:t xml:space="preserve"> na </w:t>
      </w:r>
      <w:r w:rsidR="00A85F29">
        <w:rPr>
          <w:lang w:val="nl-BE"/>
        </w:rPr>
        <w:t xml:space="preserve">een daling van </w:t>
      </w:r>
      <w:r w:rsidR="00100615" w:rsidRPr="004A60BB">
        <w:rPr>
          <w:lang w:val="nl-BE"/>
        </w:rPr>
        <w:t>zeven</w:t>
      </w:r>
      <w:r w:rsidRPr="004A60BB">
        <w:rPr>
          <w:lang w:val="nl-BE"/>
        </w:rPr>
        <w:t xml:space="preserve"> jaar</w:t>
      </w:r>
      <w:r w:rsidR="00100615" w:rsidRPr="004A60BB">
        <w:rPr>
          <w:lang w:val="nl-BE"/>
        </w:rPr>
        <w:t>: de omzet van de productie is met 3,6% gestegen in verg</w:t>
      </w:r>
      <w:r w:rsidR="002A2ACA" w:rsidRPr="004A60BB">
        <w:rPr>
          <w:lang w:val="nl-BE"/>
        </w:rPr>
        <w:t>elijking met 2014. De verkoop op</w:t>
      </w:r>
      <w:r w:rsidR="00100615" w:rsidRPr="004A60BB">
        <w:rPr>
          <w:lang w:val="nl-BE"/>
        </w:rPr>
        <w:t xml:space="preserve"> de Italiaanse markt toont e</w:t>
      </w:r>
      <w:r w:rsidR="002A2ACA" w:rsidRPr="004A60BB">
        <w:rPr>
          <w:lang w:val="nl-BE"/>
        </w:rPr>
        <w:t>en positieve</w:t>
      </w:r>
      <w:r w:rsidR="00100615" w:rsidRPr="004A60BB">
        <w:rPr>
          <w:lang w:val="nl-BE"/>
        </w:rPr>
        <w:t xml:space="preserve"> tendens (+1%), terwijl de export een nog sterkere groei kent </w:t>
      </w:r>
      <w:r w:rsidR="00785CE2" w:rsidRPr="004A60BB">
        <w:rPr>
          <w:lang w:val="nl-BE"/>
        </w:rPr>
        <w:t>(</w:t>
      </w:r>
      <w:r w:rsidR="00100615" w:rsidRPr="004A60BB">
        <w:rPr>
          <w:lang w:val="nl-BE"/>
        </w:rPr>
        <w:t>+6,1%</w:t>
      </w:r>
      <w:r w:rsidR="00785CE2" w:rsidRPr="004A60BB">
        <w:rPr>
          <w:lang w:val="nl-BE"/>
        </w:rPr>
        <w:t>) – zijn waarde is nu 11,6 miljard euro</w:t>
      </w:r>
      <w:r w:rsidR="00100615" w:rsidRPr="004A60BB">
        <w:rPr>
          <w:lang w:val="nl-BE"/>
        </w:rPr>
        <w:t>.</w:t>
      </w:r>
    </w:p>
    <w:p w:rsidR="00733321" w:rsidRDefault="00733321" w:rsidP="00733321">
      <w:pPr>
        <w:pStyle w:val="NoSpacing"/>
        <w:jc w:val="both"/>
        <w:rPr>
          <w:lang w:val="nl-BE"/>
        </w:rPr>
      </w:pPr>
    </w:p>
    <w:p w:rsidR="00BB0741" w:rsidRDefault="00BB4793" w:rsidP="00BB0741">
      <w:pPr>
        <w:pStyle w:val="NoSpacing"/>
        <w:numPr>
          <w:ilvl w:val="0"/>
          <w:numId w:val="7"/>
        </w:numPr>
        <w:jc w:val="both"/>
        <w:rPr>
          <w:lang w:val="nl-BE"/>
        </w:rPr>
      </w:pPr>
      <w:r>
        <w:rPr>
          <w:lang w:val="nl-BE"/>
        </w:rPr>
        <w:t>“De</w:t>
      </w:r>
      <w:r w:rsidR="00100615">
        <w:rPr>
          <w:lang w:val="nl-BE"/>
        </w:rPr>
        <w:t xml:space="preserve">ze editie van het Salone del Mobile, waaraan 67% buitenlandse </w:t>
      </w:r>
      <w:proofErr w:type="spellStart"/>
      <w:r w:rsidR="00100615">
        <w:rPr>
          <w:lang w:val="nl-BE"/>
        </w:rPr>
        <w:t>buyers</w:t>
      </w:r>
      <w:proofErr w:type="spellEnd"/>
      <w:r w:rsidR="00100615">
        <w:rPr>
          <w:lang w:val="nl-BE"/>
        </w:rPr>
        <w:t xml:space="preserve"> deelnamen, bevestigt dat wij sterk internationaal georiënteerd zijn en dat de export een onontbeerlijk</w:t>
      </w:r>
      <w:r w:rsidR="002A2ACA" w:rsidRPr="004A60BB">
        <w:rPr>
          <w:lang w:val="nl-BE"/>
        </w:rPr>
        <w:t>e</w:t>
      </w:r>
      <w:r w:rsidR="00100615">
        <w:rPr>
          <w:lang w:val="nl-BE"/>
        </w:rPr>
        <w:t xml:space="preserve"> rol speelt” aldus Roberto </w:t>
      </w:r>
      <w:proofErr w:type="spellStart"/>
      <w:r w:rsidR="00100615">
        <w:rPr>
          <w:lang w:val="nl-BE"/>
        </w:rPr>
        <w:t>Snaidero</w:t>
      </w:r>
      <w:proofErr w:type="spellEnd"/>
      <w:r w:rsidR="00100615">
        <w:rPr>
          <w:lang w:val="nl-BE"/>
        </w:rPr>
        <w:t>, voorzitter van het salon.</w:t>
      </w:r>
    </w:p>
    <w:p w:rsidR="00BB0741" w:rsidRPr="00BB0741" w:rsidRDefault="00BB0741" w:rsidP="00BB0741">
      <w:pPr>
        <w:pStyle w:val="NoSpacing"/>
        <w:jc w:val="both"/>
        <w:rPr>
          <w:lang w:val="nl-BE"/>
        </w:rPr>
      </w:pPr>
    </w:p>
    <w:p w:rsidR="00D9417B" w:rsidRDefault="00BB0741" w:rsidP="00D9417B">
      <w:pPr>
        <w:pStyle w:val="NoSpacing"/>
        <w:numPr>
          <w:ilvl w:val="0"/>
          <w:numId w:val="7"/>
        </w:numPr>
        <w:jc w:val="both"/>
        <w:rPr>
          <w:lang w:val="nl-BE"/>
        </w:rPr>
      </w:pPr>
      <w:r w:rsidRPr="00BB0741">
        <w:rPr>
          <w:lang w:val="nl-BE"/>
        </w:rPr>
        <w:t xml:space="preserve">Dit jaar vonden de tweejaarlijkse beurzen </w:t>
      </w:r>
      <w:proofErr w:type="spellStart"/>
      <w:r w:rsidRPr="00BB0741">
        <w:rPr>
          <w:lang w:val="nl-BE"/>
        </w:rPr>
        <w:t>Eurocucina</w:t>
      </w:r>
      <w:proofErr w:type="spellEnd"/>
      <w:r w:rsidRPr="00BB0741">
        <w:rPr>
          <w:lang w:val="nl-BE"/>
        </w:rPr>
        <w:t xml:space="preserve"> en Salone internationale del bagno samen met </w:t>
      </w:r>
      <w:r w:rsidRPr="004A60BB">
        <w:rPr>
          <w:lang w:val="nl-BE"/>
        </w:rPr>
        <w:t xml:space="preserve">het Salone del Mobile plaats. Volgens </w:t>
      </w:r>
      <w:proofErr w:type="spellStart"/>
      <w:r w:rsidRPr="004A60BB">
        <w:rPr>
          <w:lang w:val="nl-BE"/>
        </w:rPr>
        <w:t>Fla</w:t>
      </w:r>
      <w:proofErr w:type="spellEnd"/>
      <w:r w:rsidRPr="004A60BB">
        <w:rPr>
          <w:lang w:val="nl-BE"/>
        </w:rPr>
        <w:t xml:space="preserve"> is de omzet van de keuken- en badkamersector</w:t>
      </w:r>
      <w:r w:rsidR="002A2ACA" w:rsidRPr="004A60BB">
        <w:rPr>
          <w:lang w:val="nl-BE"/>
        </w:rPr>
        <w:t>en</w:t>
      </w:r>
      <w:r w:rsidRPr="004A60BB">
        <w:rPr>
          <w:lang w:val="nl-BE"/>
        </w:rPr>
        <w:t xml:space="preserve"> </w:t>
      </w:r>
      <w:r w:rsidR="002A2ACA" w:rsidRPr="004A60BB">
        <w:rPr>
          <w:lang w:val="nl-BE"/>
        </w:rPr>
        <w:t xml:space="preserve">respectievelijk </w:t>
      </w:r>
      <w:r w:rsidRPr="004A60BB">
        <w:rPr>
          <w:lang w:val="nl-BE"/>
        </w:rPr>
        <w:t>met 3,7%</w:t>
      </w:r>
      <w:r w:rsidR="001A2771" w:rsidRPr="004A60BB">
        <w:rPr>
          <w:lang w:val="nl-BE"/>
        </w:rPr>
        <w:t xml:space="preserve"> en 1%</w:t>
      </w:r>
      <w:r w:rsidRPr="004A60BB">
        <w:rPr>
          <w:lang w:val="nl-BE"/>
        </w:rPr>
        <w:t xml:space="preserve"> gegroeid in vergelijking met 2014 (export: +10%</w:t>
      </w:r>
      <w:r w:rsidR="001A2771" w:rsidRPr="004A60BB">
        <w:rPr>
          <w:lang w:val="nl-BE"/>
        </w:rPr>
        <w:t xml:space="preserve"> en +4,4%</w:t>
      </w:r>
      <w:r w:rsidRPr="004A60BB">
        <w:rPr>
          <w:lang w:val="nl-BE"/>
        </w:rPr>
        <w:t>).</w:t>
      </w:r>
      <w:r w:rsidR="001A2771" w:rsidRPr="004A60BB">
        <w:rPr>
          <w:lang w:val="nl-BE"/>
        </w:rPr>
        <w:t xml:space="preserve"> “Deze resultaten komen voort uit de investeringen van onze bedrijven in </w:t>
      </w:r>
      <w:r w:rsidR="00D9417B" w:rsidRPr="004A60BB">
        <w:rPr>
          <w:lang w:val="nl-BE"/>
        </w:rPr>
        <w:t>de</w:t>
      </w:r>
      <w:r w:rsidR="001A2771" w:rsidRPr="004A60BB">
        <w:rPr>
          <w:lang w:val="nl-BE"/>
        </w:rPr>
        <w:t xml:space="preserve"> onderzoeksafdeling” aldus Alberto </w:t>
      </w:r>
      <w:proofErr w:type="spellStart"/>
      <w:r w:rsidR="001A2771" w:rsidRPr="004A60BB">
        <w:rPr>
          <w:lang w:val="nl-BE"/>
        </w:rPr>
        <w:t>Scavolini</w:t>
      </w:r>
      <w:proofErr w:type="spellEnd"/>
      <w:r w:rsidR="001A2771" w:rsidRPr="004A60BB">
        <w:rPr>
          <w:lang w:val="nl-BE"/>
        </w:rPr>
        <w:t xml:space="preserve">, adviseur </w:t>
      </w:r>
      <w:proofErr w:type="spellStart"/>
      <w:r w:rsidR="001A2771" w:rsidRPr="004A60BB">
        <w:rPr>
          <w:lang w:val="nl-BE"/>
        </w:rPr>
        <w:t>Fla</w:t>
      </w:r>
      <w:proofErr w:type="spellEnd"/>
      <w:r w:rsidR="001A2771" w:rsidRPr="004A60BB">
        <w:rPr>
          <w:lang w:val="nl-BE"/>
        </w:rPr>
        <w:t xml:space="preserve"> voor de keukensector.</w:t>
      </w:r>
    </w:p>
    <w:p w:rsidR="00D9417B" w:rsidRPr="00D9417B" w:rsidRDefault="00D9417B" w:rsidP="00D9417B">
      <w:pPr>
        <w:pStyle w:val="NoSpacing"/>
        <w:jc w:val="both"/>
        <w:rPr>
          <w:lang w:val="nl-BE"/>
        </w:rPr>
      </w:pPr>
    </w:p>
    <w:p w:rsidR="00E2021F" w:rsidRPr="00E2021F" w:rsidRDefault="00D9417B" w:rsidP="00E2021F">
      <w:pPr>
        <w:pStyle w:val="NoSpacing"/>
        <w:numPr>
          <w:ilvl w:val="0"/>
          <w:numId w:val="7"/>
        </w:numPr>
        <w:jc w:val="both"/>
        <w:rPr>
          <w:lang w:val="nl-BE"/>
        </w:rPr>
      </w:pPr>
      <w:r w:rsidRPr="00D9417B">
        <w:rPr>
          <w:lang w:val="nl-BE"/>
        </w:rPr>
        <w:t xml:space="preserve">Naast </w:t>
      </w:r>
      <w:proofErr w:type="spellStart"/>
      <w:r w:rsidRPr="00D9417B">
        <w:rPr>
          <w:lang w:val="nl-BE"/>
        </w:rPr>
        <w:t>Eurocucina</w:t>
      </w:r>
      <w:proofErr w:type="spellEnd"/>
      <w:r w:rsidRPr="00D9417B">
        <w:rPr>
          <w:lang w:val="nl-BE"/>
        </w:rPr>
        <w:t xml:space="preserve">, is FTK (Technology For </w:t>
      </w:r>
      <w:proofErr w:type="spellStart"/>
      <w:r w:rsidRPr="00D9417B">
        <w:rPr>
          <w:lang w:val="nl-BE"/>
        </w:rPr>
        <w:t>the</w:t>
      </w:r>
      <w:proofErr w:type="spellEnd"/>
      <w:r w:rsidRPr="00D9417B">
        <w:rPr>
          <w:lang w:val="nl-BE"/>
        </w:rPr>
        <w:t xml:space="preserve"> Kitchen) een andere area die aan de keukenwereld besteed w</w:t>
      </w:r>
      <w:r w:rsidR="00E2021F">
        <w:rPr>
          <w:lang w:val="nl-BE"/>
        </w:rPr>
        <w:t>erd</w:t>
      </w:r>
      <w:r w:rsidRPr="00D9417B">
        <w:rPr>
          <w:lang w:val="nl-BE"/>
        </w:rPr>
        <w:t>.</w:t>
      </w:r>
      <w:r>
        <w:rPr>
          <w:lang w:val="nl-BE"/>
        </w:rPr>
        <w:t xml:space="preserve"> Hier </w:t>
      </w:r>
      <w:r w:rsidR="00E2021F">
        <w:rPr>
          <w:lang w:val="nl-BE"/>
        </w:rPr>
        <w:t>kond</w:t>
      </w:r>
      <w:r>
        <w:rPr>
          <w:lang w:val="nl-BE"/>
        </w:rPr>
        <w:t xml:space="preserve">en de exposanten hun innovatiefste oplossingen </w:t>
      </w:r>
      <w:r w:rsidR="00E2021F">
        <w:rPr>
          <w:lang w:val="nl-BE"/>
        </w:rPr>
        <w:t xml:space="preserve">voorstellen rond het thema </w:t>
      </w:r>
      <w:proofErr w:type="spellStart"/>
      <w:r w:rsidR="00E2021F" w:rsidRPr="00E2021F">
        <w:rPr>
          <w:i/>
          <w:lang w:val="nl-BE"/>
        </w:rPr>
        <w:t>kitchen</w:t>
      </w:r>
      <w:proofErr w:type="spellEnd"/>
      <w:r w:rsidR="00E2021F" w:rsidRPr="00E2021F">
        <w:rPr>
          <w:i/>
          <w:lang w:val="nl-BE"/>
        </w:rPr>
        <w:t xml:space="preserve"> </w:t>
      </w:r>
      <w:proofErr w:type="spellStart"/>
      <w:r w:rsidR="00E2021F" w:rsidRPr="00E2021F">
        <w:rPr>
          <w:i/>
          <w:lang w:val="nl-BE"/>
        </w:rPr>
        <w:t>connectivity</w:t>
      </w:r>
      <w:proofErr w:type="spellEnd"/>
      <w:r w:rsidR="00E2021F">
        <w:rPr>
          <w:lang w:val="nl-BE"/>
        </w:rPr>
        <w:t>. Op het salon werden vier paviljoenen (9, 11, 13, 15) en 35.000 m</w:t>
      </w:r>
      <w:r w:rsidR="00E2021F" w:rsidRPr="00E2021F">
        <w:rPr>
          <w:vertAlign w:val="superscript"/>
          <w:lang w:val="nl-BE"/>
        </w:rPr>
        <w:t>2</w:t>
      </w:r>
      <w:r w:rsidR="00E2021F">
        <w:rPr>
          <w:lang w:val="nl-BE"/>
        </w:rPr>
        <w:t xml:space="preserve"> aan de keukensector gewijd.</w:t>
      </w:r>
    </w:p>
    <w:p w:rsidR="00E2021F" w:rsidRDefault="00E2021F" w:rsidP="00E2021F">
      <w:pPr>
        <w:pStyle w:val="NoSpacing"/>
        <w:jc w:val="both"/>
        <w:rPr>
          <w:lang w:val="nl-BE"/>
        </w:rPr>
      </w:pPr>
    </w:p>
    <w:p w:rsidR="00E2021F" w:rsidRPr="00E2021F" w:rsidRDefault="00E627BD" w:rsidP="00E2021F">
      <w:pPr>
        <w:pStyle w:val="NoSpacing"/>
        <w:numPr>
          <w:ilvl w:val="0"/>
          <w:numId w:val="7"/>
        </w:numPr>
        <w:jc w:val="both"/>
        <w:rPr>
          <w:lang w:val="nl-BE"/>
        </w:rPr>
      </w:pPr>
      <w:r>
        <w:rPr>
          <w:lang w:val="nl-BE"/>
        </w:rPr>
        <w:t xml:space="preserve">Ongeveer 200 exposanten verspreid over 14 paviljoenen – dit zijn de cijfers van het Salone del </w:t>
      </w:r>
      <w:proofErr w:type="spellStart"/>
      <w:r w:rsidRPr="004A60BB">
        <w:rPr>
          <w:lang w:val="nl-BE"/>
        </w:rPr>
        <w:t>Complemento</w:t>
      </w:r>
      <w:proofErr w:type="spellEnd"/>
      <w:r w:rsidRPr="004A60BB">
        <w:rPr>
          <w:lang w:val="nl-BE"/>
        </w:rPr>
        <w:t xml:space="preserve"> </w:t>
      </w:r>
      <w:proofErr w:type="spellStart"/>
      <w:r w:rsidRPr="004A60BB">
        <w:rPr>
          <w:lang w:val="nl-BE"/>
        </w:rPr>
        <w:t>d’Arredo</w:t>
      </w:r>
      <w:proofErr w:type="spellEnd"/>
      <w:r w:rsidRPr="004A60BB">
        <w:rPr>
          <w:lang w:val="nl-BE"/>
        </w:rPr>
        <w:t>, het deel van het Salone del Mobile d</w:t>
      </w:r>
      <w:r w:rsidR="005C12F4" w:rsidRPr="004A60BB">
        <w:rPr>
          <w:lang w:val="nl-BE"/>
        </w:rPr>
        <w:t>at</w:t>
      </w:r>
      <w:r w:rsidRPr="004A60BB">
        <w:rPr>
          <w:lang w:val="nl-BE"/>
        </w:rPr>
        <w:t xml:space="preserve"> aan decoratieartikelen besteed word</w:t>
      </w:r>
      <w:r w:rsidR="009466F0" w:rsidRPr="004A60BB">
        <w:rPr>
          <w:lang w:val="nl-BE"/>
        </w:rPr>
        <w:t>t</w:t>
      </w:r>
      <w:r w:rsidRPr="004A60BB">
        <w:rPr>
          <w:lang w:val="nl-BE"/>
        </w:rPr>
        <w:t xml:space="preserve">. Tapijten, snuisterijen en linnengoed </w:t>
      </w:r>
      <w:r w:rsidR="005C12F4" w:rsidRPr="004A60BB">
        <w:rPr>
          <w:lang w:val="nl-BE"/>
        </w:rPr>
        <w:t xml:space="preserve">uit het hoge gamma </w:t>
      </w:r>
      <w:r w:rsidRPr="004A60BB">
        <w:rPr>
          <w:lang w:val="nl-BE"/>
        </w:rPr>
        <w:t>waren onder andere te zien in het beurscomplex.</w:t>
      </w:r>
    </w:p>
    <w:p w:rsidR="0002491E" w:rsidRPr="00E2021F" w:rsidRDefault="0002491E" w:rsidP="0002491E">
      <w:pPr>
        <w:pStyle w:val="NoSpacing"/>
        <w:jc w:val="both"/>
        <w:rPr>
          <w:lang w:val="nl-BE"/>
        </w:rPr>
      </w:pPr>
    </w:p>
    <w:p w:rsidR="00254D51" w:rsidRPr="00151FE7" w:rsidRDefault="00B911A7" w:rsidP="00254D51">
      <w:pPr>
        <w:pStyle w:val="NoSpacing"/>
        <w:numPr>
          <w:ilvl w:val="0"/>
          <w:numId w:val="7"/>
        </w:numPr>
        <w:jc w:val="both"/>
        <w:rPr>
          <w:lang w:val="nl-BE"/>
        </w:rPr>
      </w:pPr>
      <w:r>
        <w:rPr>
          <w:lang w:val="nl-BE"/>
        </w:rPr>
        <w:t xml:space="preserve">Het evenwicht tussen </w:t>
      </w:r>
      <w:proofErr w:type="spellStart"/>
      <w:r>
        <w:rPr>
          <w:lang w:val="nl-BE"/>
        </w:rPr>
        <w:t>wellness</w:t>
      </w:r>
      <w:proofErr w:type="spellEnd"/>
      <w:r>
        <w:rPr>
          <w:lang w:val="nl-BE"/>
        </w:rPr>
        <w:t xml:space="preserve">, design en duurzaamheid is het centrale thema van het Salone </w:t>
      </w:r>
      <w:proofErr w:type="spellStart"/>
      <w:r>
        <w:rPr>
          <w:lang w:val="nl-BE"/>
        </w:rPr>
        <w:t>Intern</w:t>
      </w:r>
      <w:r w:rsidR="005C12F4" w:rsidRPr="004A60BB">
        <w:rPr>
          <w:lang w:val="nl-BE"/>
        </w:rPr>
        <w:t>az</w:t>
      </w:r>
      <w:r w:rsidRPr="004A60BB">
        <w:rPr>
          <w:lang w:val="nl-BE"/>
        </w:rPr>
        <w:t>i</w:t>
      </w:r>
      <w:r>
        <w:rPr>
          <w:lang w:val="nl-BE"/>
        </w:rPr>
        <w:t>onale</w:t>
      </w:r>
      <w:proofErr w:type="spellEnd"/>
      <w:r>
        <w:rPr>
          <w:lang w:val="nl-BE"/>
        </w:rPr>
        <w:t xml:space="preserve"> del Bagno, dat de meest vernieuwende meubels en objecten voor de badkamer voorstelt. Ongeveer 200 internationale exposanten, verspreid over 19.000 m</w:t>
      </w:r>
      <w:r w:rsidRPr="00B911A7">
        <w:rPr>
          <w:vertAlign w:val="superscript"/>
          <w:lang w:val="nl-BE"/>
        </w:rPr>
        <w:t>2</w:t>
      </w:r>
      <w:r>
        <w:rPr>
          <w:lang w:val="nl-BE"/>
        </w:rPr>
        <w:t xml:space="preserve"> (</w:t>
      </w:r>
      <w:proofErr w:type="spellStart"/>
      <w:r>
        <w:rPr>
          <w:lang w:val="nl-BE"/>
        </w:rPr>
        <w:t>pav</w:t>
      </w:r>
      <w:proofErr w:type="spellEnd"/>
      <w:r>
        <w:rPr>
          <w:lang w:val="nl-BE"/>
        </w:rPr>
        <w:t>. 22 en 24), toonden aan de bezoekers hun beste voorstellen om het gebruik van elektriciteit en water te optimaliseren.</w:t>
      </w:r>
    </w:p>
    <w:p w:rsidR="0083773C" w:rsidRPr="00151FE7" w:rsidRDefault="0083773C" w:rsidP="00151FE7">
      <w:pPr>
        <w:pStyle w:val="NoSpacing"/>
        <w:jc w:val="both"/>
        <w:rPr>
          <w:lang w:val="nl-BE"/>
        </w:rPr>
      </w:pPr>
    </w:p>
    <w:p w:rsidR="0002491E" w:rsidRDefault="00151FE7" w:rsidP="004A4386">
      <w:pPr>
        <w:pStyle w:val="NoSpacing"/>
        <w:numPr>
          <w:ilvl w:val="0"/>
          <w:numId w:val="7"/>
        </w:numPr>
        <w:jc w:val="both"/>
        <w:rPr>
          <w:lang w:val="nl-BE"/>
        </w:rPr>
      </w:pPr>
      <w:r>
        <w:rPr>
          <w:lang w:val="nl-BE"/>
        </w:rPr>
        <w:t xml:space="preserve">Het </w:t>
      </w:r>
      <w:proofErr w:type="spellStart"/>
      <w:r>
        <w:rPr>
          <w:lang w:val="nl-BE"/>
        </w:rPr>
        <w:t>SaloneSatellite</w:t>
      </w:r>
      <w:proofErr w:type="spellEnd"/>
      <w:r>
        <w:rPr>
          <w:lang w:val="nl-BE"/>
        </w:rPr>
        <w:t xml:space="preserve"> is het deel van het Salone waar het talent van de beste jonge (under35) designers ter wereld in de schijnwerpers staat.</w:t>
      </w:r>
      <w:r w:rsidR="00B84C4A">
        <w:rPr>
          <w:lang w:val="nl-BE"/>
        </w:rPr>
        <w:t xml:space="preserve"> Sinds de eerste editie (in 1998) hebben meer dan 10.000 veelbelovende ontwerpers deelgenomen. Dit jaar kregen 650 designers de kans om hun creativiteit te tonen in twee paviljoenen (13 en 15) van het beurscomplex.</w:t>
      </w:r>
    </w:p>
    <w:p w:rsidR="004A4386" w:rsidRPr="004A4386" w:rsidRDefault="004A4386" w:rsidP="004A4386">
      <w:pPr>
        <w:pStyle w:val="NoSpacing"/>
        <w:jc w:val="both"/>
        <w:rPr>
          <w:lang w:val="nl-BE"/>
        </w:rPr>
      </w:pPr>
    </w:p>
    <w:p w:rsidR="006656D5" w:rsidRDefault="006656D5" w:rsidP="006656D5">
      <w:pPr>
        <w:pStyle w:val="Heading2"/>
      </w:pPr>
      <w:r>
        <w:t>FIT-deelname</w:t>
      </w:r>
    </w:p>
    <w:p w:rsidR="003C6B36" w:rsidRDefault="003C6B36" w:rsidP="0002491E">
      <w:pPr>
        <w:pStyle w:val="NoSpacing"/>
        <w:rPr>
          <w:lang w:val="nl-BE"/>
        </w:rPr>
      </w:pPr>
      <w:r>
        <w:rPr>
          <w:lang w:val="nl-BE"/>
        </w:rPr>
        <w:t>Geen FIT-deelname</w:t>
      </w:r>
    </w:p>
    <w:p w:rsidR="006656D5" w:rsidRDefault="006656D5" w:rsidP="006656D5">
      <w:pPr>
        <w:pStyle w:val="Heading2"/>
      </w:pPr>
      <w:r>
        <w:t>Aanbeveling</w:t>
      </w:r>
    </w:p>
    <w:p w:rsidR="00811AB1" w:rsidRDefault="00811AB1" w:rsidP="00811AB1">
      <w:pPr>
        <w:pStyle w:val="NoSpacing"/>
        <w:numPr>
          <w:ilvl w:val="0"/>
          <w:numId w:val="1"/>
        </w:numPr>
        <w:jc w:val="both"/>
        <w:rPr>
          <w:lang w:val="nl-BE"/>
        </w:rPr>
      </w:pPr>
      <w:r>
        <w:rPr>
          <w:lang w:val="nl-BE"/>
        </w:rPr>
        <w:t xml:space="preserve">Voor Vlaamse exposanten, is de beurs </w:t>
      </w:r>
      <w:r w:rsidR="00785CE2">
        <w:rPr>
          <w:lang w:val="nl-BE"/>
        </w:rPr>
        <w:t>onmisbaar</w:t>
      </w:r>
      <w:r>
        <w:rPr>
          <w:lang w:val="nl-BE"/>
        </w:rPr>
        <w:t xml:space="preserve"> voor bedrijven uit de </w:t>
      </w:r>
      <w:r w:rsidR="00785CE2">
        <w:rPr>
          <w:lang w:val="nl-BE"/>
        </w:rPr>
        <w:t>meubel</w:t>
      </w:r>
      <w:r w:rsidR="0002491E">
        <w:rPr>
          <w:lang w:val="nl-BE"/>
        </w:rPr>
        <w:t>sector</w:t>
      </w:r>
      <w:r>
        <w:rPr>
          <w:lang w:val="nl-BE"/>
        </w:rPr>
        <w:t xml:space="preserve"> die zich op de Italiaanse markt willen begeven, maar ook voor bedrijven die op zoek zijn naar nieuwe internationale klanten en synergiën.</w:t>
      </w:r>
    </w:p>
    <w:p w:rsidR="004F0570" w:rsidRPr="00A67539" w:rsidRDefault="00EB01CF" w:rsidP="004F0570">
      <w:pPr>
        <w:pStyle w:val="NoSpacing"/>
        <w:numPr>
          <w:ilvl w:val="0"/>
          <w:numId w:val="1"/>
        </w:numPr>
        <w:jc w:val="both"/>
        <w:rPr>
          <w:lang w:val="nl-BE"/>
        </w:rPr>
      </w:pPr>
      <w:r>
        <w:rPr>
          <w:lang w:val="nl-BE"/>
        </w:rPr>
        <w:t>Voor Vlaamse bezoekers</w:t>
      </w:r>
      <w:r w:rsidR="004F0570">
        <w:rPr>
          <w:lang w:val="nl-BE"/>
        </w:rPr>
        <w:t xml:space="preserve"> is de beurs </w:t>
      </w:r>
      <w:r w:rsidR="00785CE2">
        <w:rPr>
          <w:lang w:val="nl-BE"/>
        </w:rPr>
        <w:t>onmisbaar</w:t>
      </w:r>
      <w:r w:rsidR="00BF3A3F">
        <w:rPr>
          <w:lang w:val="nl-BE"/>
        </w:rPr>
        <w:t xml:space="preserve"> om zich een uitgebreid</w:t>
      </w:r>
      <w:r w:rsidR="004F0570">
        <w:rPr>
          <w:lang w:val="nl-BE"/>
        </w:rPr>
        <w:t xml:space="preserve"> overzicht te vormen van </w:t>
      </w:r>
      <w:r w:rsidR="00826F60">
        <w:rPr>
          <w:lang w:val="nl-BE"/>
        </w:rPr>
        <w:t xml:space="preserve">de </w:t>
      </w:r>
      <w:r w:rsidR="00785CE2">
        <w:rPr>
          <w:lang w:val="nl-BE"/>
        </w:rPr>
        <w:t>meubel</w:t>
      </w:r>
      <w:r w:rsidR="0002491E">
        <w:rPr>
          <w:lang w:val="nl-BE"/>
        </w:rPr>
        <w:t>sector</w:t>
      </w:r>
      <w:r w:rsidR="00826F60">
        <w:rPr>
          <w:lang w:val="nl-BE"/>
        </w:rPr>
        <w:t xml:space="preserve"> in Italië, </w:t>
      </w:r>
      <w:r w:rsidR="004F0570">
        <w:rPr>
          <w:lang w:val="nl-BE"/>
        </w:rPr>
        <w:t>in Europa</w:t>
      </w:r>
      <w:r w:rsidR="00826F60">
        <w:rPr>
          <w:lang w:val="nl-BE"/>
        </w:rPr>
        <w:t xml:space="preserve"> en in de wereld</w:t>
      </w:r>
      <w:r w:rsidR="00785CE2">
        <w:rPr>
          <w:lang w:val="nl-BE"/>
        </w:rPr>
        <w:t>.</w:t>
      </w:r>
    </w:p>
    <w:p w:rsidR="006656D5" w:rsidRDefault="006656D5" w:rsidP="006656D5">
      <w:pPr>
        <w:pStyle w:val="Heading2"/>
      </w:pPr>
      <w:r>
        <w:t>Beursorganisatie &amp; deelnemingsvoorwaarden</w:t>
      </w:r>
    </w:p>
    <w:p w:rsidR="006656D5" w:rsidRPr="00BB0741" w:rsidRDefault="006656D5" w:rsidP="0002491E">
      <w:pPr>
        <w:pStyle w:val="NoSpacing"/>
        <w:rPr>
          <w:lang w:val="nl-BE"/>
        </w:rPr>
      </w:pPr>
      <w:r w:rsidRPr="003C6B36">
        <w:rPr>
          <w:lang w:val="nl-BE"/>
        </w:rPr>
        <w:t>Contactgegevens beursorganisator</w:t>
      </w:r>
      <w:r w:rsidR="003C6B36" w:rsidRPr="003C6B36">
        <w:rPr>
          <w:lang w:val="nl-BE"/>
        </w:rPr>
        <w:t xml:space="preserve">: zie website </w:t>
      </w:r>
      <w:hyperlink r:id="rId14" w:history="1">
        <w:r w:rsidR="00BB0741" w:rsidRPr="00F104A9">
          <w:rPr>
            <w:rStyle w:val="Hyperlink"/>
            <w:lang w:val="nl-BE"/>
          </w:rPr>
          <w:t>http://www.federlegnoarredo.it/</w:t>
        </w:r>
      </w:hyperlink>
      <w:r w:rsidR="00BB0741">
        <w:rPr>
          <w:lang w:val="nl-BE"/>
        </w:rPr>
        <w:t xml:space="preserve"> </w:t>
      </w:r>
    </w:p>
    <w:p w:rsidR="006656D5" w:rsidRPr="00BB0741" w:rsidRDefault="003C6B36" w:rsidP="008569CD">
      <w:pPr>
        <w:pStyle w:val="NoSpacing"/>
        <w:rPr>
          <w:rFonts w:ascii="Times New Roman" w:hAnsi="Times New Roman"/>
          <w:lang w:val="nl-BE"/>
        </w:rPr>
      </w:pPr>
      <w:r>
        <w:rPr>
          <w:lang w:val="nl-BE"/>
        </w:rPr>
        <w:t xml:space="preserve">Toegangstarieven: </w:t>
      </w:r>
      <w:hyperlink r:id="rId15" w:history="1">
        <w:r w:rsidR="00BB0741" w:rsidRPr="00F104A9">
          <w:rPr>
            <w:rStyle w:val="Hyperlink"/>
            <w:lang w:val="nl-BE"/>
          </w:rPr>
          <w:t>https://www.salonemilano.it/visitatori/ticket-e-modalita-d-ingresso.html</w:t>
        </w:r>
      </w:hyperlink>
      <w:r w:rsidR="00BB0741">
        <w:rPr>
          <w:lang w:val="nl-BE"/>
        </w:rPr>
        <w:t xml:space="preserve"> </w:t>
      </w:r>
    </w:p>
    <w:p w:rsidR="00E65A7F" w:rsidRDefault="00E65A7F">
      <w:pPr>
        <w:sectPr w:rsidR="00E65A7F" w:rsidSect="00E65A7F">
          <w:type w:val="continuous"/>
          <w:pgSz w:w="11906" w:h="16838"/>
          <w:pgMar w:top="1417" w:right="1417" w:bottom="1417" w:left="1417" w:header="708" w:footer="708" w:gutter="0"/>
          <w:cols w:space="708"/>
          <w:titlePg/>
          <w:docGrid w:linePitch="360"/>
        </w:sectPr>
      </w:pPr>
    </w:p>
    <w:p w:rsidR="00B1499C" w:rsidRPr="003702E8" w:rsidRDefault="0079428C" w:rsidP="003702E8">
      <w:pPr>
        <w:rPr>
          <w:rFonts w:asciiTheme="majorHAnsi" w:eastAsiaTheme="majorEastAsia" w:hAnsiTheme="majorHAnsi" w:cstheme="majorBidi"/>
          <w:b/>
          <w:color w:val="009FE3"/>
          <w:sz w:val="32"/>
          <w:szCs w:val="32"/>
        </w:rPr>
        <w:sectPr w:rsidR="00B1499C" w:rsidRPr="003702E8" w:rsidSect="00571D96">
          <w:type w:val="continuous"/>
          <w:pgSz w:w="11906" w:h="16838"/>
          <w:pgMar w:top="1417" w:right="1417" w:bottom="1417" w:left="1417" w:header="708" w:footer="708" w:gutter="0"/>
          <w:cols w:num="2" w:space="708"/>
          <w:titlePg/>
          <w:docGrid w:linePitch="360"/>
        </w:sectPr>
      </w:pPr>
      <w:r>
        <w:lastRenderedPageBreak/>
        <w:br w:type="page"/>
      </w:r>
      <w:bookmarkStart w:id="0" w:name="_GoBack"/>
      <w:bookmarkEnd w:id="0"/>
    </w:p>
    <w:p w:rsidR="00820A3E" w:rsidRDefault="00820A3E" w:rsidP="003702E8">
      <w:pPr>
        <w:pStyle w:val="Heading1"/>
        <w:rPr>
          <w:sz w:val="20"/>
          <w:szCs w:val="20"/>
        </w:rPr>
      </w:pPr>
    </w:p>
    <w:sectPr w:rsidR="00820A3E" w:rsidSect="00B1499C">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EC5" w:rsidRDefault="00FA1EC5" w:rsidP="007132C9">
      <w:pPr>
        <w:spacing w:after="0" w:line="240" w:lineRule="auto"/>
      </w:pPr>
      <w:r>
        <w:separator/>
      </w:r>
    </w:p>
  </w:endnote>
  <w:endnote w:type="continuationSeparator" w:id="0">
    <w:p w:rsidR="00FA1EC5" w:rsidRDefault="00FA1EC5" w:rsidP="00713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F29" w:rsidRDefault="00A85F29" w:rsidP="009A6585">
    <w:pPr>
      <w:pStyle w:val="Footer"/>
      <w:pBdr>
        <w:top w:val="single" w:sz="4" w:space="1" w:color="auto"/>
      </w:pBdr>
      <w:tabs>
        <w:tab w:val="clear" w:pos="4536"/>
      </w:tabs>
    </w:pPr>
    <w:r>
      <w:rPr>
        <w:noProof/>
        <w:lang w:eastAsia="nl-BE"/>
      </w:rPr>
      <w:drawing>
        <wp:anchor distT="396240" distB="0" distL="114300" distR="114300" simplePos="0" relativeHeight="251661312" behindDoc="0" locked="1" layoutInCell="1" allowOverlap="1" wp14:anchorId="67E9FEC6" wp14:editId="16DFE493">
          <wp:simplePos x="0" y="0"/>
          <wp:positionH relativeFrom="column">
            <wp:posOffset>4654550</wp:posOffset>
          </wp:positionH>
          <wp:positionV relativeFrom="paragraph">
            <wp:posOffset>136838</wp:posOffset>
          </wp:positionV>
          <wp:extent cx="1108800" cy="28440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laanderenWitteAchtergro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8800" cy="284400"/>
                  </a:xfrm>
                  <a:prstGeom prst="rect">
                    <a:avLst/>
                  </a:prstGeom>
                </pic:spPr>
              </pic:pic>
            </a:graphicData>
          </a:graphic>
          <wp14:sizeRelH relativeFrom="margin">
            <wp14:pctWidth>0</wp14:pctWidth>
          </wp14:sizeRelH>
          <wp14:sizeRelV relativeFrom="margin">
            <wp14:pctHeight>0</wp14:pctHeight>
          </wp14:sizeRelV>
        </wp:anchor>
      </w:drawing>
    </w:r>
  </w:p>
  <w:p w:rsidR="00A85F29" w:rsidRDefault="00A85F29" w:rsidP="009A6585">
    <w:pPr>
      <w:pStyle w:val="Footer"/>
      <w:tabs>
        <w:tab w:val="clear" w:pos="4536"/>
      </w:tabs>
    </w:pPr>
    <w:r>
      <w:fldChar w:fldCharType="begin"/>
    </w:r>
    <w:r>
      <w:instrText xml:space="preserve"> PAGE   \* MERGEFORMAT </w:instrText>
    </w:r>
    <w:r>
      <w:fldChar w:fldCharType="separate"/>
    </w:r>
    <w:r w:rsidR="003702E8">
      <w:rPr>
        <w:noProof/>
      </w:rPr>
      <w:t>3</w:t>
    </w:r>
    <w:r>
      <w:rPr>
        <w:noProof/>
      </w:rPr>
      <w:fldChar w:fldCharType="end"/>
    </w:r>
    <w:r>
      <w:rPr>
        <w:noProof/>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F29" w:rsidRDefault="00A85F29" w:rsidP="009A6585">
    <w:pPr>
      <w:pStyle w:val="Footer"/>
      <w:pBdr>
        <w:top w:val="single" w:sz="4" w:space="1" w:color="auto"/>
      </w:pBdr>
      <w:tabs>
        <w:tab w:val="clear" w:pos="4536"/>
      </w:tabs>
    </w:pPr>
    <w:r>
      <w:rPr>
        <w:noProof/>
        <w:lang w:eastAsia="nl-BE"/>
      </w:rPr>
      <w:drawing>
        <wp:anchor distT="396240" distB="0" distL="114300" distR="114300" simplePos="0" relativeHeight="251659264" behindDoc="0" locked="1" layoutInCell="1" allowOverlap="1" wp14:anchorId="67E9FEC6" wp14:editId="16DFE493">
          <wp:simplePos x="0" y="0"/>
          <wp:positionH relativeFrom="column">
            <wp:posOffset>4654550</wp:posOffset>
          </wp:positionH>
          <wp:positionV relativeFrom="paragraph">
            <wp:posOffset>136838</wp:posOffset>
          </wp:positionV>
          <wp:extent cx="1108800" cy="284400"/>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laanderenWitteAchtergro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8800" cy="284400"/>
                  </a:xfrm>
                  <a:prstGeom prst="rect">
                    <a:avLst/>
                  </a:prstGeom>
                </pic:spPr>
              </pic:pic>
            </a:graphicData>
          </a:graphic>
          <wp14:sizeRelH relativeFrom="margin">
            <wp14:pctWidth>0</wp14:pctWidth>
          </wp14:sizeRelH>
          <wp14:sizeRelV relativeFrom="margin">
            <wp14:pctHeight>0</wp14:pctHeight>
          </wp14:sizeRelV>
        </wp:anchor>
      </w:drawing>
    </w:r>
  </w:p>
  <w:p w:rsidR="00A85F29" w:rsidRDefault="00A85F29" w:rsidP="009A6585">
    <w:pPr>
      <w:pStyle w:val="Footer"/>
      <w:tabs>
        <w:tab w:val="clear" w:pos="4536"/>
      </w:tabs>
    </w:pPr>
    <w:r>
      <w:fldChar w:fldCharType="begin"/>
    </w:r>
    <w:r>
      <w:instrText xml:space="preserve"> PAGE   \* MERGEFORMAT </w:instrText>
    </w:r>
    <w:r>
      <w:fldChar w:fldCharType="separate"/>
    </w:r>
    <w:r w:rsidR="003702E8">
      <w:rPr>
        <w:noProof/>
      </w:rPr>
      <w:t>4</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EC5" w:rsidRDefault="00FA1EC5" w:rsidP="007132C9">
      <w:pPr>
        <w:spacing w:after="0" w:line="240" w:lineRule="auto"/>
      </w:pPr>
      <w:r>
        <w:separator/>
      </w:r>
    </w:p>
  </w:footnote>
  <w:footnote w:type="continuationSeparator" w:id="0">
    <w:p w:rsidR="00FA1EC5" w:rsidRDefault="00FA1EC5" w:rsidP="007132C9">
      <w:pPr>
        <w:spacing w:after="0" w:line="240" w:lineRule="auto"/>
      </w:pPr>
      <w:r>
        <w:continuationSeparator/>
      </w:r>
    </w:p>
  </w:footnote>
  <w:footnote w:id="1">
    <w:p w:rsidR="00A85F29" w:rsidRPr="005A475F" w:rsidRDefault="00A85F29">
      <w:pPr>
        <w:pStyle w:val="FootnoteText"/>
        <w:rPr>
          <w:lang w:val="it-IT"/>
        </w:rPr>
      </w:pPr>
      <w:r>
        <w:rPr>
          <w:rStyle w:val="FootnoteReference"/>
        </w:rPr>
        <w:footnoteRef/>
      </w:r>
      <w:hyperlink r:id="rId1" w:history="1">
        <w:r w:rsidRPr="00F104A9">
          <w:rPr>
            <w:rStyle w:val="Hyperlink"/>
          </w:rPr>
          <w:t>http://milano.repubblica.it/cronaca/2016/04/17/news/salone_del_mobile_chiude_l_edizione_dei_record_350mila_solo_in_fiera_l_effetto_expo_si_sente_ancora-137837081/</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F29" w:rsidRDefault="00A85F29">
    <w:pPr>
      <w:pStyle w:val="Header"/>
    </w:pPr>
    <w:r>
      <w:rPr>
        <w:noProof/>
        <w:lang w:eastAsia="nl-BE"/>
      </w:rPr>
      <w:drawing>
        <wp:inline distT="0" distB="0" distL="0" distR="0">
          <wp:extent cx="5760720" cy="4356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T_Entiteitslogo_Horizontaal_N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4356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F1CD5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4214A"/>
    <w:multiLevelType w:val="hybridMultilevel"/>
    <w:tmpl w:val="7CCE58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B5C3CD4"/>
    <w:multiLevelType w:val="hybridMultilevel"/>
    <w:tmpl w:val="A74EDA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185294C"/>
    <w:multiLevelType w:val="hybridMultilevel"/>
    <w:tmpl w:val="E96EC0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8C76955"/>
    <w:multiLevelType w:val="hybridMultilevel"/>
    <w:tmpl w:val="3D94B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8A3577"/>
    <w:multiLevelType w:val="hybridMultilevel"/>
    <w:tmpl w:val="C87852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6FA7E97"/>
    <w:multiLevelType w:val="hybridMultilevel"/>
    <w:tmpl w:val="951491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5A0636"/>
    <w:multiLevelType w:val="hybridMultilevel"/>
    <w:tmpl w:val="D23C0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4"/>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DFE"/>
    <w:rsid w:val="00001208"/>
    <w:rsid w:val="000042B8"/>
    <w:rsid w:val="00006176"/>
    <w:rsid w:val="000076E6"/>
    <w:rsid w:val="00015A11"/>
    <w:rsid w:val="0002491E"/>
    <w:rsid w:val="00026B0B"/>
    <w:rsid w:val="0002745E"/>
    <w:rsid w:val="00047C77"/>
    <w:rsid w:val="000611C6"/>
    <w:rsid w:val="00067454"/>
    <w:rsid w:val="0008574C"/>
    <w:rsid w:val="000A655A"/>
    <w:rsid w:val="000A6595"/>
    <w:rsid w:val="000E73CA"/>
    <w:rsid w:val="000F134A"/>
    <w:rsid w:val="000F5166"/>
    <w:rsid w:val="00100615"/>
    <w:rsid w:val="00112CB0"/>
    <w:rsid w:val="0011391B"/>
    <w:rsid w:val="00133B2F"/>
    <w:rsid w:val="00142469"/>
    <w:rsid w:val="00142933"/>
    <w:rsid w:val="00151FE7"/>
    <w:rsid w:val="001637D5"/>
    <w:rsid w:val="0017450A"/>
    <w:rsid w:val="00176100"/>
    <w:rsid w:val="0018280A"/>
    <w:rsid w:val="00182D08"/>
    <w:rsid w:val="001832A0"/>
    <w:rsid w:val="001A2771"/>
    <w:rsid w:val="001E491F"/>
    <w:rsid w:val="001E7A7B"/>
    <w:rsid w:val="001F1100"/>
    <w:rsid w:val="001F21BB"/>
    <w:rsid w:val="002014D3"/>
    <w:rsid w:val="002267C7"/>
    <w:rsid w:val="00254D51"/>
    <w:rsid w:val="00262D11"/>
    <w:rsid w:val="00270DCD"/>
    <w:rsid w:val="002923A1"/>
    <w:rsid w:val="002A2ACA"/>
    <w:rsid w:val="002A7132"/>
    <w:rsid w:val="002B3CB6"/>
    <w:rsid w:val="002D384B"/>
    <w:rsid w:val="002D57AD"/>
    <w:rsid w:val="002F0B35"/>
    <w:rsid w:val="002F17A5"/>
    <w:rsid w:val="002F1F1B"/>
    <w:rsid w:val="0030758F"/>
    <w:rsid w:val="00310196"/>
    <w:rsid w:val="00310F5B"/>
    <w:rsid w:val="00314C85"/>
    <w:rsid w:val="003273B4"/>
    <w:rsid w:val="00327617"/>
    <w:rsid w:val="0035033C"/>
    <w:rsid w:val="00357A13"/>
    <w:rsid w:val="00365F6B"/>
    <w:rsid w:val="003702E8"/>
    <w:rsid w:val="00380B26"/>
    <w:rsid w:val="003829B9"/>
    <w:rsid w:val="003978EF"/>
    <w:rsid w:val="003A0D3A"/>
    <w:rsid w:val="003B6162"/>
    <w:rsid w:val="003C16E1"/>
    <w:rsid w:val="003C6B36"/>
    <w:rsid w:val="003D1933"/>
    <w:rsid w:val="003D1940"/>
    <w:rsid w:val="00400696"/>
    <w:rsid w:val="00403407"/>
    <w:rsid w:val="00404C25"/>
    <w:rsid w:val="00406280"/>
    <w:rsid w:val="0041416E"/>
    <w:rsid w:val="0043107D"/>
    <w:rsid w:val="0045049D"/>
    <w:rsid w:val="00451497"/>
    <w:rsid w:val="00453406"/>
    <w:rsid w:val="0046102B"/>
    <w:rsid w:val="0046724A"/>
    <w:rsid w:val="004700A1"/>
    <w:rsid w:val="004704E1"/>
    <w:rsid w:val="00485A98"/>
    <w:rsid w:val="0049146C"/>
    <w:rsid w:val="004A4386"/>
    <w:rsid w:val="004A60BB"/>
    <w:rsid w:val="004B485E"/>
    <w:rsid w:val="004B6008"/>
    <w:rsid w:val="004B775C"/>
    <w:rsid w:val="004E08A6"/>
    <w:rsid w:val="004E60EB"/>
    <w:rsid w:val="004F0570"/>
    <w:rsid w:val="004F74B5"/>
    <w:rsid w:val="00504AD3"/>
    <w:rsid w:val="00513E03"/>
    <w:rsid w:val="0052057B"/>
    <w:rsid w:val="005356B4"/>
    <w:rsid w:val="00543D33"/>
    <w:rsid w:val="0055207A"/>
    <w:rsid w:val="00556A46"/>
    <w:rsid w:val="00557D07"/>
    <w:rsid w:val="00571D96"/>
    <w:rsid w:val="005824EC"/>
    <w:rsid w:val="005848CF"/>
    <w:rsid w:val="00587872"/>
    <w:rsid w:val="005902C6"/>
    <w:rsid w:val="00591DA0"/>
    <w:rsid w:val="005966DF"/>
    <w:rsid w:val="005A166B"/>
    <w:rsid w:val="005A475F"/>
    <w:rsid w:val="005C12F4"/>
    <w:rsid w:val="005D5C32"/>
    <w:rsid w:val="005E389F"/>
    <w:rsid w:val="006010B2"/>
    <w:rsid w:val="0060476A"/>
    <w:rsid w:val="006164AE"/>
    <w:rsid w:val="00653743"/>
    <w:rsid w:val="00654A0B"/>
    <w:rsid w:val="00663C9E"/>
    <w:rsid w:val="006656D5"/>
    <w:rsid w:val="00675D1C"/>
    <w:rsid w:val="00694C5C"/>
    <w:rsid w:val="006966AF"/>
    <w:rsid w:val="006A52C0"/>
    <w:rsid w:val="006A697E"/>
    <w:rsid w:val="006B31C3"/>
    <w:rsid w:val="006B3386"/>
    <w:rsid w:val="006C3C2A"/>
    <w:rsid w:val="006E403C"/>
    <w:rsid w:val="006F248F"/>
    <w:rsid w:val="0070323C"/>
    <w:rsid w:val="0070432B"/>
    <w:rsid w:val="007132C9"/>
    <w:rsid w:val="00720B61"/>
    <w:rsid w:val="00720C27"/>
    <w:rsid w:val="00733321"/>
    <w:rsid w:val="00742F72"/>
    <w:rsid w:val="00754FA0"/>
    <w:rsid w:val="00785CE2"/>
    <w:rsid w:val="0079428C"/>
    <w:rsid w:val="007A13F7"/>
    <w:rsid w:val="007A4E84"/>
    <w:rsid w:val="007B4ECF"/>
    <w:rsid w:val="007D049F"/>
    <w:rsid w:val="007D6829"/>
    <w:rsid w:val="007E1933"/>
    <w:rsid w:val="007F0B59"/>
    <w:rsid w:val="00804E22"/>
    <w:rsid w:val="008061A1"/>
    <w:rsid w:val="00806E23"/>
    <w:rsid w:val="00811AB1"/>
    <w:rsid w:val="00820A3E"/>
    <w:rsid w:val="00826F60"/>
    <w:rsid w:val="008344F0"/>
    <w:rsid w:val="0083773C"/>
    <w:rsid w:val="008474C2"/>
    <w:rsid w:val="008569CD"/>
    <w:rsid w:val="00866A12"/>
    <w:rsid w:val="0087439F"/>
    <w:rsid w:val="0088763B"/>
    <w:rsid w:val="008B494C"/>
    <w:rsid w:val="008C2421"/>
    <w:rsid w:val="00904ABA"/>
    <w:rsid w:val="00916793"/>
    <w:rsid w:val="00931A21"/>
    <w:rsid w:val="0093708F"/>
    <w:rsid w:val="009466F0"/>
    <w:rsid w:val="009549C4"/>
    <w:rsid w:val="00962B92"/>
    <w:rsid w:val="009644AB"/>
    <w:rsid w:val="00967524"/>
    <w:rsid w:val="00976D83"/>
    <w:rsid w:val="009A38A3"/>
    <w:rsid w:val="009A3C5A"/>
    <w:rsid w:val="009A6585"/>
    <w:rsid w:val="009B13CA"/>
    <w:rsid w:val="009D6726"/>
    <w:rsid w:val="009F56A4"/>
    <w:rsid w:val="00A26DFC"/>
    <w:rsid w:val="00A345D6"/>
    <w:rsid w:val="00A4335B"/>
    <w:rsid w:val="00A44755"/>
    <w:rsid w:val="00A46995"/>
    <w:rsid w:val="00A664B5"/>
    <w:rsid w:val="00A85F29"/>
    <w:rsid w:val="00A91823"/>
    <w:rsid w:val="00A95201"/>
    <w:rsid w:val="00AB2DAC"/>
    <w:rsid w:val="00AC2384"/>
    <w:rsid w:val="00AC4E09"/>
    <w:rsid w:val="00AD0DFE"/>
    <w:rsid w:val="00B06B36"/>
    <w:rsid w:val="00B10BA0"/>
    <w:rsid w:val="00B1499C"/>
    <w:rsid w:val="00B15BE7"/>
    <w:rsid w:val="00B43EF8"/>
    <w:rsid w:val="00B4612F"/>
    <w:rsid w:val="00B51E2A"/>
    <w:rsid w:val="00B56586"/>
    <w:rsid w:val="00B84C4A"/>
    <w:rsid w:val="00B911A7"/>
    <w:rsid w:val="00B93E9C"/>
    <w:rsid w:val="00B9691E"/>
    <w:rsid w:val="00BB0741"/>
    <w:rsid w:val="00BB4793"/>
    <w:rsid w:val="00BB6CDB"/>
    <w:rsid w:val="00BB7415"/>
    <w:rsid w:val="00BC312C"/>
    <w:rsid w:val="00BD5799"/>
    <w:rsid w:val="00BE110B"/>
    <w:rsid w:val="00BE5DD7"/>
    <w:rsid w:val="00BF2F6C"/>
    <w:rsid w:val="00BF3A3F"/>
    <w:rsid w:val="00BF587B"/>
    <w:rsid w:val="00C21A5F"/>
    <w:rsid w:val="00C34FAC"/>
    <w:rsid w:val="00C365FE"/>
    <w:rsid w:val="00C60130"/>
    <w:rsid w:val="00C720A1"/>
    <w:rsid w:val="00C82484"/>
    <w:rsid w:val="00CA3FE8"/>
    <w:rsid w:val="00CA707A"/>
    <w:rsid w:val="00CD7819"/>
    <w:rsid w:val="00D036B4"/>
    <w:rsid w:val="00D24CAC"/>
    <w:rsid w:val="00D27D68"/>
    <w:rsid w:val="00D37B15"/>
    <w:rsid w:val="00D544AB"/>
    <w:rsid w:val="00D55B61"/>
    <w:rsid w:val="00D6268C"/>
    <w:rsid w:val="00D6422A"/>
    <w:rsid w:val="00D7090B"/>
    <w:rsid w:val="00D9417B"/>
    <w:rsid w:val="00DC5480"/>
    <w:rsid w:val="00DD1311"/>
    <w:rsid w:val="00DD15CD"/>
    <w:rsid w:val="00DE29A2"/>
    <w:rsid w:val="00DF1CE7"/>
    <w:rsid w:val="00E02832"/>
    <w:rsid w:val="00E02C29"/>
    <w:rsid w:val="00E1130C"/>
    <w:rsid w:val="00E168DE"/>
    <w:rsid w:val="00E2021F"/>
    <w:rsid w:val="00E21A8E"/>
    <w:rsid w:val="00E21D25"/>
    <w:rsid w:val="00E25B21"/>
    <w:rsid w:val="00E3081B"/>
    <w:rsid w:val="00E402CC"/>
    <w:rsid w:val="00E53303"/>
    <w:rsid w:val="00E55D5D"/>
    <w:rsid w:val="00E627BD"/>
    <w:rsid w:val="00E63805"/>
    <w:rsid w:val="00E65A7F"/>
    <w:rsid w:val="00E71018"/>
    <w:rsid w:val="00E71CFB"/>
    <w:rsid w:val="00E7363D"/>
    <w:rsid w:val="00E97EBD"/>
    <w:rsid w:val="00EB01CF"/>
    <w:rsid w:val="00EB31BB"/>
    <w:rsid w:val="00EC18FF"/>
    <w:rsid w:val="00EC5906"/>
    <w:rsid w:val="00EC649B"/>
    <w:rsid w:val="00EE5455"/>
    <w:rsid w:val="00EE7E4F"/>
    <w:rsid w:val="00EF20C0"/>
    <w:rsid w:val="00EF73BD"/>
    <w:rsid w:val="00F20AE6"/>
    <w:rsid w:val="00F26D7D"/>
    <w:rsid w:val="00F370D1"/>
    <w:rsid w:val="00F56E12"/>
    <w:rsid w:val="00F8366B"/>
    <w:rsid w:val="00F91EFA"/>
    <w:rsid w:val="00FA1EC5"/>
    <w:rsid w:val="00FA6BCF"/>
    <w:rsid w:val="00FB173B"/>
    <w:rsid w:val="00FB4E6D"/>
    <w:rsid w:val="00FD16FC"/>
    <w:rsid w:val="00FD6C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E7F90B-35B9-4777-A53D-6FF491CAB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A6585"/>
    <w:pPr>
      <w:keepNext/>
      <w:keepLines/>
      <w:pBdr>
        <w:top w:val="single" w:sz="8" w:space="1" w:color="009FE3"/>
        <w:bottom w:val="single" w:sz="8" w:space="1" w:color="009FE3"/>
      </w:pBdr>
      <w:spacing w:before="240" w:after="240"/>
      <w:outlineLvl w:val="0"/>
    </w:pPr>
    <w:rPr>
      <w:rFonts w:asciiTheme="majorHAnsi" w:eastAsiaTheme="majorEastAsia" w:hAnsiTheme="majorHAnsi" w:cstheme="majorBidi"/>
      <w:b/>
      <w:color w:val="009FE3"/>
      <w:sz w:val="32"/>
      <w:szCs w:val="32"/>
    </w:rPr>
  </w:style>
  <w:style w:type="paragraph" w:styleId="Heading2">
    <w:name w:val="heading 2"/>
    <w:basedOn w:val="Normal"/>
    <w:next w:val="Normal"/>
    <w:link w:val="Heading2Char"/>
    <w:uiPriority w:val="9"/>
    <w:unhideWhenUsed/>
    <w:qFormat/>
    <w:rsid w:val="006656D5"/>
    <w:pPr>
      <w:keepNext/>
      <w:keepLines/>
      <w:pBdr>
        <w:bottom w:val="single" w:sz="8" w:space="1" w:color="009FE3"/>
      </w:pBdr>
      <w:spacing w:before="200" w:after="200" w:line="240" w:lineRule="auto"/>
      <w:outlineLvl w:val="1"/>
    </w:pPr>
    <w:rPr>
      <w:rFonts w:asciiTheme="majorHAnsi" w:eastAsiaTheme="majorEastAsia" w:hAnsiTheme="majorHAnsi" w:cstheme="majorBidi"/>
      <w:color w:val="009FE3"/>
      <w:sz w:val="26"/>
      <w:szCs w:val="26"/>
    </w:rPr>
  </w:style>
  <w:style w:type="paragraph" w:styleId="Heading3">
    <w:name w:val="heading 3"/>
    <w:basedOn w:val="Normal"/>
    <w:next w:val="Normal"/>
    <w:link w:val="Heading3Char"/>
    <w:uiPriority w:val="9"/>
    <w:unhideWhenUsed/>
    <w:qFormat/>
    <w:rsid w:val="00FB173B"/>
    <w:pPr>
      <w:outlineLvl w:val="2"/>
    </w:pPr>
    <w:rPr>
      <w:color w:val="009FE3"/>
    </w:rPr>
  </w:style>
  <w:style w:type="paragraph" w:styleId="Heading4">
    <w:name w:val="heading 4"/>
    <w:basedOn w:val="Normal"/>
    <w:next w:val="Normal"/>
    <w:link w:val="Heading4Char"/>
    <w:uiPriority w:val="9"/>
    <w:semiHidden/>
    <w:unhideWhenUsed/>
    <w:qFormat/>
    <w:rsid w:val="006656D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D9417B"/>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8">
    <w:name w:val="heading 8"/>
    <w:basedOn w:val="Normal"/>
    <w:next w:val="Normal"/>
    <w:link w:val="Heading8Char"/>
    <w:uiPriority w:val="9"/>
    <w:semiHidden/>
    <w:unhideWhenUsed/>
    <w:qFormat/>
    <w:rsid w:val="006656D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656D5"/>
    <w:pPr>
      <w:spacing w:after="0" w:line="240" w:lineRule="auto"/>
      <w:contextualSpacing/>
      <w:jc w:val="center"/>
    </w:pPr>
    <w:rPr>
      <w:rFonts w:asciiTheme="majorHAnsi" w:eastAsiaTheme="majorEastAsia" w:hAnsiTheme="majorHAnsi" w:cstheme="majorBidi"/>
      <w:b/>
      <w:color w:val="009FE3"/>
      <w:spacing w:val="-10"/>
      <w:kern w:val="28"/>
      <w:sz w:val="72"/>
      <w:szCs w:val="72"/>
    </w:rPr>
  </w:style>
  <w:style w:type="character" w:customStyle="1" w:styleId="TitleChar">
    <w:name w:val="Title Char"/>
    <w:basedOn w:val="DefaultParagraphFont"/>
    <w:link w:val="Title"/>
    <w:uiPriority w:val="10"/>
    <w:rsid w:val="006656D5"/>
    <w:rPr>
      <w:rFonts w:asciiTheme="majorHAnsi" w:eastAsiaTheme="majorEastAsia" w:hAnsiTheme="majorHAnsi" w:cstheme="majorBidi"/>
      <w:b/>
      <w:color w:val="009FE3"/>
      <w:spacing w:val="-10"/>
      <w:kern w:val="28"/>
      <w:sz w:val="72"/>
      <w:szCs w:val="72"/>
    </w:rPr>
  </w:style>
  <w:style w:type="paragraph" w:styleId="Header">
    <w:name w:val="header"/>
    <w:basedOn w:val="Normal"/>
    <w:link w:val="HeaderChar"/>
    <w:unhideWhenUsed/>
    <w:rsid w:val="007132C9"/>
    <w:pPr>
      <w:tabs>
        <w:tab w:val="center" w:pos="4536"/>
        <w:tab w:val="right" w:pos="9072"/>
      </w:tabs>
      <w:spacing w:after="0" w:line="240" w:lineRule="auto"/>
    </w:pPr>
  </w:style>
  <w:style w:type="character" w:customStyle="1" w:styleId="HeaderChar">
    <w:name w:val="Header Char"/>
    <w:basedOn w:val="DefaultParagraphFont"/>
    <w:link w:val="Header"/>
    <w:uiPriority w:val="99"/>
    <w:rsid w:val="007132C9"/>
  </w:style>
  <w:style w:type="paragraph" w:styleId="Footer">
    <w:name w:val="footer"/>
    <w:basedOn w:val="Normal"/>
    <w:link w:val="FooterChar"/>
    <w:uiPriority w:val="99"/>
    <w:unhideWhenUsed/>
    <w:rsid w:val="007132C9"/>
    <w:pPr>
      <w:tabs>
        <w:tab w:val="center" w:pos="4536"/>
        <w:tab w:val="right" w:pos="9072"/>
      </w:tabs>
      <w:spacing w:after="0" w:line="240" w:lineRule="auto"/>
    </w:pPr>
  </w:style>
  <w:style w:type="character" w:customStyle="1" w:styleId="FooterChar">
    <w:name w:val="Footer Char"/>
    <w:basedOn w:val="DefaultParagraphFont"/>
    <w:link w:val="Footer"/>
    <w:uiPriority w:val="99"/>
    <w:rsid w:val="007132C9"/>
  </w:style>
  <w:style w:type="character" w:customStyle="1" w:styleId="Heading1Char">
    <w:name w:val="Heading 1 Char"/>
    <w:basedOn w:val="DefaultParagraphFont"/>
    <w:link w:val="Heading1"/>
    <w:uiPriority w:val="9"/>
    <w:rsid w:val="009A6585"/>
    <w:rPr>
      <w:rFonts w:asciiTheme="majorHAnsi" w:eastAsiaTheme="majorEastAsia" w:hAnsiTheme="majorHAnsi" w:cstheme="majorBidi"/>
      <w:b/>
      <w:color w:val="009FE3"/>
      <w:sz w:val="32"/>
      <w:szCs w:val="32"/>
    </w:rPr>
  </w:style>
  <w:style w:type="character" w:customStyle="1" w:styleId="Heading2Char">
    <w:name w:val="Heading 2 Char"/>
    <w:basedOn w:val="DefaultParagraphFont"/>
    <w:link w:val="Heading2"/>
    <w:uiPriority w:val="9"/>
    <w:rsid w:val="006656D5"/>
    <w:rPr>
      <w:rFonts w:asciiTheme="majorHAnsi" w:eastAsiaTheme="majorEastAsia" w:hAnsiTheme="majorHAnsi" w:cstheme="majorBidi"/>
      <w:color w:val="009FE3"/>
      <w:sz w:val="26"/>
      <w:szCs w:val="26"/>
    </w:rPr>
  </w:style>
  <w:style w:type="paragraph" w:styleId="BalloonText">
    <w:name w:val="Balloon Text"/>
    <w:basedOn w:val="Normal"/>
    <w:link w:val="BalloonTextChar"/>
    <w:uiPriority w:val="99"/>
    <w:semiHidden/>
    <w:unhideWhenUsed/>
    <w:rsid w:val="00182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80A"/>
    <w:rPr>
      <w:rFonts w:ascii="Segoe UI" w:hAnsi="Segoe UI" w:cs="Segoe UI"/>
      <w:sz w:val="18"/>
      <w:szCs w:val="18"/>
    </w:rPr>
  </w:style>
  <w:style w:type="character" w:customStyle="1" w:styleId="Heading3Char">
    <w:name w:val="Heading 3 Char"/>
    <w:basedOn w:val="DefaultParagraphFont"/>
    <w:link w:val="Heading3"/>
    <w:uiPriority w:val="9"/>
    <w:rsid w:val="00FB173B"/>
    <w:rPr>
      <w:color w:val="009FE3"/>
    </w:rPr>
  </w:style>
  <w:style w:type="character" w:customStyle="1" w:styleId="Heading4Char">
    <w:name w:val="Heading 4 Char"/>
    <w:basedOn w:val="DefaultParagraphFont"/>
    <w:link w:val="Heading4"/>
    <w:uiPriority w:val="9"/>
    <w:semiHidden/>
    <w:rsid w:val="006656D5"/>
    <w:rPr>
      <w:rFonts w:asciiTheme="majorHAnsi" w:eastAsiaTheme="majorEastAsia" w:hAnsiTheme="majorHAnsi" w:cstheme="majorBidi"/>
      <w:i/>
      <w:iCs/>
      <w:color w:val="2E74B5" w:themeColor="accent1" w:themeShade="BF"/>
    </w:rPr>
  </w:style>
  <w:style w:type="character" w:customStyle="1" w:styleId="Heading8Char">
    <w:name w:val="Heading 8 Char"/>
    <w:basedOn w:val="DefaultParagraphFont"/>
    <w:link w:val="Heading8"/>
    <w:uiPriority w:val="9"/>
    <w:semiHidden/>
    <w:rsid w:val="006656D5"/>
    <w:rPr>
      <w:rFonts w:asciiTheme="majorHAnsi" w:eastAsiaTheme="majorEastAsia" w:hAnsiTheme="majorHAnsi" w:cstheme="majorBidi"/>
      <w:color w:val="272727" w:themeColor="text1" w:themeTint="D8"/>
      <w:sz w:val="21"/>
      <w:szCs w:val="21"/>
    </w:rPr>
  </w:style>
  <w:style w:type="paragraph" w:styleId="NoSpacing">
    <w:name w:val="No Spacing"/>
    <w:basedOn w:val="Normal"/>
    <w:link w:val="NoSpacingChar"/>
    <w:uiPriority w:val="1"/>
    <w:qFormat/>
    <w:rsid w:val="006656D5"/>
    <w:pPr>
      <w:spacing w:after="0" w:line="240" w:lineRule="auto"/>
    </w:pPr>
    <w:rPr>
      <w:rFonts w:ascii="Calibri" w:eastAsia="Times New Roman" w:hAnsi="Calibri" w:cs="Times New Roman"/>
      <w:sz w:val="20"/>
      <w:szCs w:val="20"/>
      <w:lang w:val="en-US" w:bidi="en-US"/>
    </w:rPr>
  </w:style>
  <w:style w:type="character" w:customStyle="1" w:styleId="NoSpacingChar">
    <w:name w:val="No Spacing Char"/>
    <w:basedOn w:val="DefaultParagraphFont"/>
    <w:link w:val="NoSpacing"/>
    <w:uiPriority w:val="1"/>
    <w:rsid w:val="006656D5"/>
    <w:rPr>
      <w:rFonts w:ascii="Calibri" w:eastAsia="Times New Roman" w:hAnsi="Calibri" w:cs="Times New Roman"/>
      <w:sz w:val="20"/>
      <w:szCs w:val="20"/>
      <w:lang w:val="en-US" w:bidi="en-US"/>
    </w:rPr>
  </w:style>
  <w:style w:type="paragraph" w:styleId="NormalWeb">
    <w:name w:val="Normal (Web)"/>
    <w:basedOn w:val="Normal"/>
    <w:uiPriority w:val="99"/>
    <w:semiHidden/>
    <w:unhideWhenUsed/>
    <w:rsid w:val="00112CB0"/>
    <w:rPr>
      <w:rFonts w:ascii="Times New Roman" w:hAnsi="Times New Roman" w:cs="Times New Roman"/>
      <w:sz w:val="24"/>
      <w:szCs w:val="24"/>
    </w:rPr>
  </w:style>
  <w:style w:type="character" w:styleId="Hyperlink">
    <w:name w:val="Hyperlink"/>
    <w:basedOn w:val="DefaultParagraphFont"/>
    <w:uiPriority w:val="99"/>
    <w:unhideWhenUsed/>
    <w:rsid w:val="00112CB0"/>
    <w:rPr>
      <w:color w:val="0563C1" w:themeColor="hyperlink"/>
      <w:u w:val="single"/>
    </w:rPr>
  </w:style>
  <w:style w:type="table" w:styleId="GridTable2-Accent5">
    <w:name w:val="Grid Table 2 Accent 5"/>
    <w:basedOn w:val="TableNormal"/>
    <w:uiPriority w:val="47"/>
    <w:rsid w:val="00BC312C"/>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B93E9C"/>
    <w:pPr>
      <w:ind w:left="720"/>
      <w:contextualSpacing/>
    </w:pPr>
  </w:style>
  <w:style w:type="character" w:styleId="Strong">
    <w:name w:val="Strong"/>
    <w:basedOn w:val="DefaultParagraphFont"/>
    <w:uiPriority w:val="22"/>
    <w:qFormat/>
    <w:rsid w:val="00B93E9C"/>
    <w:rPr>
      <w:b/>
      <w:bCs/>
    </w:rPr>
  </w:style>
  <w:style w:type="table" w:styleId="TableGrid">
    <w:name w:val="Table Grid"/>
    <w:basedOn w:val="TableNormal"/>
    <w:uiPriority w:val="39"/>
    <w:rsid w:val="00142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182D08"/>
    <w:rPr>
      <w:i/>
      <w:iCs/>
    </w:rPr>
  </w:style>
  <w:style w:type="character" w:styleId="FollowedHyperlink">
    <w:name w:val="FollowedHyperlink"/>
    <w:basedOn w:val="DefaultParagraphFont"/>
    <w:uiPriority w:val="99"/>
    <w:semiHidden/>
    <w:unhideWhenUsed/>
    <w:rsid w:val="004B775C"/>
    <w:rPr>
      <w:color w:val="954F72" w:themeColor="followedHyperlink"/>
      <w:u w:val="single"/>
    </w:rPr>
  </w:style>
  <w:style w:type="paragraph" w:styleId="FootnoteText">
    <w:name w:val="footnote text"/>
    <w:basedOn w:val="Normal"/>
    <w:link w:val="FootnoteTextChar"/>
    <w:uiPriority w:val="99"/>
    <w:semiHidden/>
    <w:unhideWhenUsed/>
    <w:rsid w:val="005A47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475F"/>
    <w:rPr>
      <w:sz w:val="20"/>
      <w:szCs w:val="20"/>
    </w:rPr>
  </w:style>
  <w:style w:type="character" w:styleId="FootnoteReference">
    <w:name w:val="footnote reference"/>
    <w:basedOn w:val="DefaultParagraphFont"/>
    <w:uiPriority w:val="99"/>
    <w:semiHidden/>
    <w:unhideWhenUsed/>
    <w:rsid w:val="005A475F"/>
    <w:rPr>
      <w:vertAlign w:val="superscript"/>
    </w:rPr>
  </w:style>
  <w:style w:type="paragraph" w:styleId="ListBullet">
    <w:name w:val="List Bullet"/>
    <w:basedOn w:val="Normal"/>
    <w:uiPriority w:val="99"/>
    <w:unhideWhenUsed/>
    <w:rsid w:val="00F91EFA"/>
    <w:pPr>
      <w:numPr>
        <w:numId w:val="8"/>
      </w:numPr>
      <w:contextualSpacing/>
    </w:pPr>
  </w:style>
  <w:style w:type="character" w:styleId="PlaceholderText">
    <w:name w:val="Placeholder Text"/>
    <w:basedOn w:val="DefaultParagraphFont"/>
    <w:uiPriority w:val="99"/>
    <w:semiHidden/>
    <w:rsid w:val="00404C25"/>
    <w:rPr>
      <w:color w:val="808080"/>
    </w:rPr>
  </w:style>
  <w:style w:type="character" w:customStyle="1" w:styleId="Heading6Char">
    <w:name w:val="Heading 6 Char"/>
    <w:basedOn w:val="DefaultParagraphFont"/>
    <w:link w:val="Heading6"/>
    <w:uiPriority w:val="9"/>
    <w:semiHidden/>
    <w:rsid w:val="00D9417B"/>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1761">
      <w:bodyDiv w:val="1"/>
      <w:marLeft w:val="0"/>
      <w:marRight w:val="0"/>
      <w:marTop w:val="0"/>
      <w:marBottom w:val="0"/>
      <w:divBdr>
        <w:top w:val="none" w:sz="0" w:space="0" w:color="auto"/>
        <w:left w:val="none" w:sz="0" w:space="0" w:color="auto"/>
        <w:bottom w:val="none" w:sz="0" w:space="0" w:color="auto"/>
        <w:right w:val="none" w:sz="0" w:space="0" w:color="auto"/>
      </w:divBdr>
      <w:divsChild>
        <w:div w:id="1856069312">
          <w:marLeft w:val="0"/>
          <w:marRight w:val="0"/>
          <w:marTop w:val="0"/>
          <w:marBottom w:val="0"/>
          <w:divBdr>
            <w:top w:val="none" w:sz="0" w:space="0" w:color="auto"/>
            <w:left w:val="none" w:sz="0" w:space="0" w:color="auto"/>
            <w:bottom w:val="none" w:sz="0" w:space="0" w:color="auto"/>
            <w:right w:val="none" w:sz="0" w:space="0" w:color="auto"/>
          </w:divBdr>
          <w:divsChild>
            <w:div w:id="202998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8326">
      <w:bodyDiv w:val="1"/>
      <w:marLeft w:val="0"/>
      <w:marRight w:val="0"/>
      <w:marTop w:val="0"/>
      <w:marBottom w:val="0"/>
      <w:divBdr>
        <w:top w:val="none" w:sz="0" w:space="0" w:color="auto"/>
        <w:left w:val="none" w:sz="0" w:space="0" w:color="auto"/>
        <w:bottom w:val="none" w:sz="0" w:space="0" w:color="auto"/>
        <w:right w:val="none" w:sz="0" w:space="0" w:color="auto"/>
      </w:divBdr>
      <w:divsChild>
        <w:div w:id="105201402">
          <w:marLeft w:val="0"/>
          <w:marRight w:val="0"/>
          <w:marTop w:val="0"/>
          <w:marBottom w:val="0"/>
          <w:divBdr>
            <w:top w:val="none" w:sz="0" w:space="0" w:color="auto"/>
            <w:left w:val="none" w:sz="0" w:space="0" w:color="auto"/>
            <w:bottom w:val="none" w:sz="0" w:space="0" w:color="auto"/>
            <w:right w:val="none" w:sz="0" w:space="0" w:color="auto"/>
          </w:divBdr>
          <w:divsChild>
            <w:div w:id="97341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4234">
      <w:bodyDiv w:val="1"/>
      <w:marLeft w:val="0"/>
      <w:marRight w:val="0"/>
      <w:marTop w:val="0"/>
      <w:marBottom w:val="0"/>
      <w:divBdr>
        <w:top w:val="none" w:sz="0" w:space="0" w:color="auto"/>
        <w:left w:val="none" w:sz="0" w:space="0" w:color="auto"/>
        <w:bottom w:val="none" w:sz="0" w:space="0" w:color="auto"/>
        <w:right w:val="none" w:sz="0" w:space="0" w:color="auto"/>
      </w:divBdr>
      <w:divsChild>
        <w:div w:id="1105267775">
          <w:marLeft w:val="0"/>
          <w:marRight w:val="0"/>
          <w:marTop w:val="0"/>
          <w:marBottom w:val="0"/>
          <w:divBdr>
            <w:top w:val="none" w:sz="0" w:space="0" w:color="auto"/>
            <w:left w:val="none" w:sz="0" w:space="0" w:color="auto"/>
            <w:bottom w:val="none" w:sz="0" w:space="0" w:color="auto"/>
            <w:right w:val="none" w:sz="0" w:space="0" w:color="auto"/>
          </w:divBdr>
        </w:div>
      </w:divsChild>
    </w:div>
    <w:div w:id="1882814751">
      <w:bodyDiv w:val="1"/>
      <w:marLeft w:val="0"/>
      <w:marRight w:val="0"/>
      <w:marTop w:val="0"/>
      <w:marBottom w:val="0"/>
      <w:divBdr>
        <w:top w:val="none" w:sz="0" w:space="0" w:color="auto"/>
        <w:left w:val="none" w:sz="0" w:space="0" w:color="auto"/>
        <w:bottom w:val="none" w:sz="0" w:space="0" w:color="auto"/>
        <w:right w:val="none" w:sz="0" w:space="0" w:color="auto"/>
      </w:divBdr>
      <w:divsChild>
        <w:div w:id="1225330719">
          <w:marLeft w:val="0"/>
          <w:marRight w:val="0"/>
          <w:marTop w:val="0"/>
          <w:marBottom w:val="0"/>
          <w:divBdr>
            <w:top w:val="none" w:sz="0" w:space="0" w:color="auto"/>
            <w:left w:val="none" w:sz="0" w:space="0" w:color="auto"/>
            <w:bottom w:val="none" w:sz="0" w:space="0" w:color="auto"/>
            <w:right w:val="none" w:sz="0" w:space="0" w:color="auto"/>
          </w:divBdr>
          <w:divsChild>
            <w:div w:id="80315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alonemilano.it/espositori/catalogo-espositori.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lonemilano.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alonemilano.it" TargetMode="External"/><Relationship Id="rId5" Type="http://schemas.openxmlformats.org/officeDocument/2006/relationships/webSettings" Target="webSettings.xml"/><Relationship Id="rId15" Type="http://schemas.openxmlformats.org/officeDocument/2006/relationships/hyperlink" Target="https://www.salonemilano.it/visitatori/ticket-e-modalita-d-ingresso.html"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federlegnoarredo.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milano.repubblica.it/cronaca/2016/04/17/news/salone_del_mobile_chiude_l_edizione_dei_record_350mila_solo_in_fiera_l_effetto_expo_si_sente_ancora-13783708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a03\Documents\Francesco\FIERE\RepMKBeursverslag-N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634C7-0A2F-4855-AAE7-4359E5D49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RepMKBeursverslag-Ned.dotx</Template>
  <TotalTime>0</TotalTime>
  <Pages>4</Pages>
  <Words>834</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Flanders Investment &amp; Trade</Company>
  <LinksUpToDate>false</LinksUpToDate>
  <CharactersWithSpaces>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Panzeri</dc:creator>
  <cp:keywords/>
  <dc:description/>
  <cp:lastModifiedBy>mila01</cp:lastModifiedBy>
  <cp:revision>3</cp:revision>
  <cp:lastPrinted>2014-05-22T09:08:00Z</cp:lastPrinted>
  <dcterms:created xsi:type="dcterms:W3CDTF">2016-04-26T13:20:00Z</dcterms:created>
  <dcterms:modified xsi:type="dcterms:W3CDTF">2016-04-26T13:20:00Z</dcterms:modified>
</cp:coreProperties>
</file>