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06288B" w:rsidRPr="00BC7A06" w:rsidTr="005C1A01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6288B" w:rsidRPr="00BC7A06" w:rsidRDefault="0006288B" w:rsidP="0006288B">
            <w:pPr>
              <w:widowControl w:val="0"/>
              <w:autoSpaceDE w:val="0"/>
              <w:autoSpaceDN w:val="0"/>
              <w:ind w:right="8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BC7A0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2B7F4D" wp14:editId="2ABF6851">
                  <wp:extent cx="952500" cy="647700"/>
                  <wp:effectExtent l="0" t="0" r="0" b="0"/>
                  <wp:docPr id="1" name="Picture 1" descr="eu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6288B" w:rsidRPr="00BC7A06" w:rsidRDefault="0006288B" w:rsidP="0006288B">
            <w:pPr>
              <w:widowControl w:val="0"/>
              <w:autoSpaceDE w:val="0"/>
              <w:autoSpaceDN w:val="0"/>
              <w:spacing w:before="20"/>
              <w:ind w:right="8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6288B" w:rsidRPr="00BC7A06" w:rsidRDefault="0006288B" w:rsidP="0006288B">
            <w:pPr>
              <w:widowControl w:val="0"/>
              <w:autoSpaceDE w:val="0"/>
              <w:autoSpaceDN w:val="0"/>
              <w:spacing w:before="20"/>
              <w:ind w:right="8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14594" w:rsidRPr="00BC7A06" w:rsidRDefault="00D14594" w:rsidP="00D14594">
            <w:pPr>
              <w:widowControl w:val="0"/>
              <w:autoSpaceDE w:val="0"/>
              <w:autoSpaceDN w:val="0"/>
              <w:spacing w:before="20"/>
              <w:ind w:right="8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A06">
              <w:rPr>
                <w:rFonts w:ascii="Arial" w:eastAsia="Times New Roman" w:hAnsi="Arial" w:cs="Arial"/>
                <w:b/>
                <w:sz w:val="20"/>
                <w:szCs w:val="20"/>
              </w:rPr>
              <w:t>DELEGATION OF THE EUROPEAN UNION</w:t>
            </w:r>
          </w:p>
          <w:p w:rsidR="0006288B" w:rsidRPr="00BC7A06" w:rsidRDefault="00D14594" w:rsidP="0006288B">
            <w:pPr>
              <w:widowControl w:val="0"/>
              <w:autoSpaceDE w:val="0"/>
              <w:autoSpaceDN w:val="0"/>
              <w:ind w:right="85"/>
              <w:rPr>
                <w:rFonts w:ascii="Arial" w:eastAsia="Times New Roman" w:hAnsi="Arial" w:cs="Arial"/>
                <w:sz w:val="16"/>
                <w:szCs w:val="16"/>
              </w:rPr>
            </w:pPr>
            <w:r w:rsidRPr="00BC7A06">
              <w:rPr>
                <w:rFonts w:ascii="Arial" w:eastAsia="Times New Roman" w:hAnsi="Arial"/>
                <w:b/>
                <w:sz w:val="20"/>
                <w:szCs w:val="20"/>
                <w:lang w:eastAsia="es-ES"/>
              </w:rPr>
              <w:t>TO ARGENTINA</w:t>
            </w:r>
            <w:r w:rsidRPr="00BC7A06" w:rsidDel="00D145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B5FCA" w:rsidRPr="00BC7A06" w:rsidRDefault="00CB5FCA" w:rsidP="004F782B">
      <w:pPr>
        <w:shd w:val="clear" w:color="auto" w:fill="FFFFFF"/>
        <w:autoSpaceDE w:val="0"/>
        <w:autoSpaceDN w:val="0"/>
        <w:spacing w:after="200" w:line="276" w:lineRule="auto"/>
        <w:jc w:val="center"/>
        <w:rPr>
          <w:b/>
          <w:color w:val="000000"/>
          <w:u w:val="single"/>
        </w:rPr>
      </w:pPr>
    </w:p>
    <w:p w:rsidR="009E0EF9" w:rsidRPr="00BC7A06" w:rsidRDefault="009E0EF9" w:rsidP="004F782B">
      <w:pPr>
        <w:shd w:val="clear" w:color="auto" w:fill="FFFFFF"/>
        <w:autoSpaceDE w:val="0"/>
        <w:autoSpaceDN w:val="0"/>
        <w:spacing w:after="200" w:line="276" w:lineRule="auto"/>
        <w:jc w:val="center"/>
        <w:rPr>
          <w:b/>
          <w:color w:val="000000"/>
          <w:u w:val="single"/>
        </w:rPr>
      </w:pPr>
    </w:p>
    <w:p w:rsidR="0006288B" w:rsidRPr="00BC7A06" w:rsidRDefault="0006288B" w:rsidP="004F782B">
      <w:pPr>
        <w:shd w:val="clear" w:color="auto" w:fill="FFFFFF"/>
        <w:autoSpaceDE w:val="0"/>
        <w:autoSpaceDN w:val="0"/>
        <w:spacing w:after="200" w:line="276" w:lineRule="auto"/>
        <w:jc w:val="center"/>
        <w:rPr>
          <w:b/>
          <w:color w:val="000000"/>
          <w:u w:val="single"/>
        </w:rPr>
      </w:pPr>
      <w:r w:rsidRPr="00BC7A06">
        <w:rPr>
          <w:b/>
          <w:color w:val="000000"/>
          <w:u w:val="single"/>
        </w:rPr>
        <w:t>Minutes</w:t>
      </w:r>
    </w:p>
    <w:p w:rsidR="004F782B" w:rsidRPr="00BC7A06" w:rsidRDefault="00D55A10" w:rsidP="004F782B">
      <w:pPr>
        <w:shd w:val="clear" w:color="auto" w:fill="FFFFFF"/>
        <w:autoSpaceDE w:val="0"/>
        <w:autoSpaceDN w:val="0"/>
        <w:spacing w:after="200" w:line="276" w:lineRule="auto"/>
        <w:jc w:val="center"/>
        <w:rPr>
          <w:b/>
          <w:color w:val="000000"/>
        </w:rPr>
      </w:pPr>
      <w:r w:rsidRPr="00BC7A06">
        <w:rPr>
          <w:b/>
          <w:color w:val="000000"/>
        </w:rPr>
        <w:t>Trade Counsellors meeting</w:t>
      </w:r>
    </w:p>
    <w:p w:rsidR="00D55A10" w:rsidRPr="00BC7A06" w:rsidRDefault="00A92A7B" w:rsidP="004F782B">
      <w:pPr>
        <w:shd w:val="clear" w:color="auto" w:fill="FFFFFF"/>
        <w:autoSpaceDE w:val="0"/>
        <w:autoSpaceDN w:val="0"/>
        <w:spacing w:after="200" w:line="276" w:lineRule="auto"/>
        <w:jc w:val="center"/>
        <w:rPr>
          <w:b/>
          <w:color w:val="000000"/>
        </w:rPr>
      </w:pPr>
      <w:r w:rsidRPr="00BC7A06">
        <w:rPr>
          <w:b/>
          <w:color w:val="000000"/>
        </w:rPr>
        <w:t>1</w:t>
      </w:r>
      <w:r w:rsidR="0075588B">
        <w:rPr>
          <w:b/>
          <w:color w:val="000000"/>
        </w:rPr>
        <w:t>6</w:t>
      </w:r>
      <w:r w:rsidR="00337175" w:rsidRPr="00BC7A06">
        <w:rPr>
          <w:b/>
          <w:color w:val="000000"/>
        </w:rPr>
        <w:t xml:space="preserve"> </w:t>
      </w:r>
      <w:r w:rsidR="0075588B">
        <w:rPr>
          <w:b/>
          <w:color w:val="000000"/>
        </w:rPr>
        <w:t>June</w:t>
      </w:r>
      <w:r w:rsidRPr="00BC7A06">
        <w:rPr>
          <w:b/>
          <w:color w:val="000000"/>
        </w:rPr>
        <w:t xml:space="preserve"> 2020</w:t>
      </w:r>
    </w:p>
    <w:p w:rsidR="009E0EF9" w:rsidRPr="00BC7A06" w:rsidRDefault="009E0EF9" w:rsidP="004F782B">
      <w:pPr>
        <w:shd w:val="clear" w:color="auto" w:fill="FFFFFF"/>
        <w:autoSpaceDE w:val="0"/>
        <w:autoSpaceDN w:val="0"/>
        <w:spacing w:after="200" w:line="276" w:lineRule="auto"/>
        <w:rPr>
          <w:i/>
          <w:color w:val="000000"/>
        </w:rPr>
      </w:pPr>
    </w:p>
    <w:p w:rsidR="004F782B" w:rsidRPr="00BC7A06" w:rsidRDefault="004F782B" w:rsidP="004F782B">
      <w:pPr>
        <w:shd w:val="clear" w:color="auto" w:fill="FFFFFF"/>
        <w:autoSpaceDE w:val="0"/>
        <w:autoSpaceDN w:val="0"/>
        <w:spacing w:after="200" w:line="276" w:lineRule="auto"/>
        <w:rPr>
          <w:i/>
          <w:color w:val="000000"/>
        </w:rPr>
      </w:pPr>
      <w:r w:rsidRPr="00BC7A06">
        <w:rPr>
          <w:i/>
          <w:color w:val="000000"/>
        </w:rPr>
        <w:t>V</w:t>
      </w:r>
      <w:r w:rsidR="00A92A7B" w:rsidRPr="00BC7A06">
        <w:rPr>
          <w:i/>
          <w:color w:val="000000"/>
        </w:rPr>
        <w:t>irtual meeting via webex (host: EUD)</w:t>
      </w:r>
    </w:p>
    <w:p w:rsidR="006D69F1" w:rsidRPr="00A44445" w:rsidRDefault="00A92A7B" w:rsidP="00826B35">
      <w:pPr>
        <w:shd w:val="clear" w:color="auto" w:fill="FFFFFF"/>
        <w:autoSpaceDE w:val="0"/>
        <w:autoSpaceDN w:val="0"/>
        <w:spacing w:after="200" w:line="276" w:lineRule="auto"/>
        <w:jc w:val="both"/>
        <w:rPr>
          <w:i/>
          <w:iCs/>
          <w:lang w:val="es-ES"/>
        </w:rPr>
      </w:pPr>
      <w:r w:rsidRPr="00A44445">
        <w:rPr>
          <w:i/>
          <w:iCs/>
          <w:color w:val="000000"/>
          <w:lang w:val="es-ES"/>
        </w:rPr>
        <w:t xml:space="preserve">Participants: </w:t>
      </w:r>
      <w:r w:rsidR="00CF6676" w:rsidRPr="00A44445">
        <w:rPr>
          <w:i/>
          <w:iCs/>
          <w:color w:val="000000"/>
          <w:lang w:val="es-ES"/>
        </w:rPr>
        <w:t>M</w:t>
      </w:r>
      <w:r w:rsidR="00D55A10" w:rsidRPr="00A44445">
        <w:rPr>
          <w:i/>
          <w:iCs/>
          <w:color w:val="000000"/>
          <w:lang w:val="es-ES"/>
        </w:rPr>
        <w:t>S</w:t>
      </w:r>
      <w:r w:rsidRPr="00A44445">
        <w:rPr>
          <w:i/>
          <w:iCs/>
          <w:color w:val="000000"/>
          <w:lang w:val="es-ES"/>
        </w:rPr>
        <w:t xml:space="preserve"> -</w:t>
      </w:r>
      <w:r w:rsidR="00D55A10" w:rsidRPr="00A44445">
        <w:rPr>
          <w:i/>
          <w:iCs/>
          <w:lang w:val="es-ES"/>
        </w:rPr>
        <w:t xml:space="preserve"> </w:t>
      </w:r>
      <w:r w:rsidR="0029061C" w:rsidRPr="00A44445">
        <w:rPr>
          <w:i/>
          <w:iCs/>
          <w:lang w:val="es-ES"/>
        </w:rPr>
        <w:t xml:space="preserve">CZ, </w:t>
      </w:r>
      <w:r w:rsidR="009E6FFC" w:rsidRPr="00A44445">
        <w:rPr>
          <w:i/>
          <w:iCs/>
          <w:lang w:val="es-ES"/>
        </w:rPr>
        <w:t>D</w:t>
      </w:r>
      <w:r w:rsidR="006D69F1" w:rsidRPr="00A44445">
        <w:rPr>
          <w:i/>
          <w:iCs/>
          <w:lang w:val="es-ES"/>
        </w:rPr>
        <w:t>E</w:t>
      </w:r>
      <w:r w:rsidR="006C24F4" w:rsidRPr="00A44445">
        <w:rPr>
          <w:i/>
          <w:iCs/>
          <w:lang w:val="es-ES"/>
        </w:rPr>
        <w:t>,</w:t>
      </w:r>
      <w:r w:rsidR="009E6FFC" w:rsidRPr="00A44445">
        <w:rPr>
          <w:i/>
          <w:iCs/>
          <w:lang w:val="es-ES"/>
        </w:rPr>
        <w:t xml:space="preserve"> D</w:t>
      </w:r>
      <w:r w:rsidR="0029061C" w:rsidRPr="00A44445">
        <w:rPr>
          <w:i/>
          <w:iCs/>
          <w:lang w:val="es-ES"/>
        </w:rPr>
        <w:t>K,</w:t>
      </w:r>
      <w:r w:rsidR="006D69F1" w:rsidRPr="00A44445">
        <w:rPr>
          <w:i/>
          <w:iCs/>
          <w:lang w:val="es-ES"/>
        </w:rPr>
        <w:t xml:space="preserve"> FR, IE,</w:t>
      </w:r>
      <w:r w:rsidR="0029061C" w:rsidRPr="00A44445">
        <w:rPr>
          <w:i/>
          <w:iCs/>
          <w:lang w:val="es-ES"/>
        </w:rPr>
        <w:t xml:space="preserve"> IT, NL,</w:t>
      </w:r>
      <w:r w:rsidR="006D69F1" w:rsidRPr="00A44445">
        <w:rPr>
          <w:i/>
          <w:iCs/>
          <w:lang w:val="es-ES"/>
        </w:rPr>
        <w:t xml:space="preserve"> </w:t>
      </w:r>
      <w:r w:rsidR="00921B30" w:rsidRPr="00A44445">
        <w:rPr>
          <w:i/>
          <w:iCs/>
          <w:lang w:val="es-ES"/>
        </w:rPr>
        <w:t xml:space="preserve">PL, </w:t>
      </w:r>
      <w:r w:rsidR="006D69F1" w:rsidRPr="00A44445">
        <w:rPr>
          <w:i/>
          <w:iCs/>
          <w:lang w:val="es-ES"/>
        </w:rPr>
        <w:t>S</w:t>
      </w:r>
      <w:r w:rsidR="00921B30" w:rsidRPr="00A44445">
        <w:rPr>
          <w:i/>
          <w:iCs/>
          <w:lang w:val="es-ES"/>
        </w:rPr>
        <w:t>L</w:t>
      </w:r>
      <w:r w:rsidRPr="00A44445">
        <w:rPr>
          <w:i/>
          <w:iCs/>
          <w:lang w:val="es-ES"/>
        </w:rPr>
        <w:t xml:space="preserve">; </w:t>
      </w:r>
      <w:r w:rsidR="0029061C" w:rsidRPr="00A44445">
        <w:rPr>
          <w:i/>
          <w:iCs/>
          <w:lang w:val="es-ES"/>
        </w:rPr>
        <w:t>Eurocámara</w:t>
      </w:r>
      <w:r w:rsidRPr="00A44445">
        <w:rPr>
          <w:i/>
          <w:iCs/>
          <w:lang w:val="es-ES"/>
        </w:rPr>
        <w:t>; EUD</w:t>
      </w:r>
    </w:p>
    <w:p w:rsidR="00921B30" w:rsidRPr="00A44445" w:rsidRDefault="00921B30" w:rsidP="00826B35">
      <w:pPr>
        <w:shd w:val="clear" w:color="auto" w:fill="FFFFFF"/>
        <w:autoSpaceDE w:val="0"/>
        <w:autoSpaceDN w:val="0"/>
        <w:spacing w:after="200" w:line="276" w:lineRule="auto"/>
        <w:jc w:val="both"/>
        <w:rPr>
          <w:rFonts w:asciiTheme="minorHAnsi" w:hAnsiTheme="minorHAnsi" w:cstheme="minorHAnsi"/>
          <w:iCs/>
          <w:lang w:val="es-ES"/>
        </w:rPr>
      </w:pPr>
    </w:p>
    <w:p w:rsidR="00921B30" w:rsidRPr="00EB2A6E" w:rsidRDefault="0075588B" w:rsidP="00EB2A6E">
      <w:pPr>
        <w:pStyle w:val="HTMLPreformatte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2A6E">
        <w:rPr>
          <w:rFonts w:asciiTheme="minorHAnsi" w:hAnsiTheme="minorHAnsi" w:cstheme="minorHAnsi"/>
          <w:i/>
          <w:iCs/>
          <w:sz w:val="22"/>
          <w:szCs w:val="22"/>
        </w:rPr>
        <w:t xml:space="preserve">The only points of the agenda was the presentation of </w:t>
      </w:r>
      <w:r w:rsidR="00EB2A6E" w:rsidRPr="00EB2A6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Mr. </w:t>
      </w:r>
      <w:r w:rsidRPr="00EB2A6E">
        <w:rPr>
          <w:rFonts w:asciiTheme="minorHAnsi" w:hAnsiTheme="minorHAnsi" w:cstheme="minorHAnsi"/>
          <w:b/>
          <w:i/>
          <w:iCs/>
          <w:sz w:val="22"/>
          <w:szCs w:val="22"/>
        </w:rPr>
        <w:t>Diego Coatz</w:t>
      </w:r>
      <w:r w:rsidR="00921B30" w:rsidRPr="00EB2A6E">
        <w:rPr>
          <w:rFonts w:asciiTheme="minorHAnsi" w:hAnsiTheme="minorHAnsi" w:cstheme="minorHAnsi"/>
          <w:i/>
          <w:sz w:val="22"/>
          <w:szCs w:val="22"/>
        </w:rPr>
        <w:t>, Executive Director and chief economist UIA</w:t>
      </w:r>
      <w:r w:rsidR="00EB2A6E" w:rsidRPr="00EB2A6E">
        <w:rPr>
          <w:rFonts w:asciiTheme="minorHAnsi" w:eastAsia="Times New Roman" w:hAnsiTheme="minorHAnsi" w:cstheme="minorHAnsi"/>
          <w:i/>
          <w:sz w:val="22"/>
          <w:szCs w:val="22"/>
          <w:lang w:val="en" w:eastAsia="en-GB"/>
        </w:rPr>
        <w:t xml:space="preserve">, which provided his view on the situation of the industrial sector and foreign trade in Argentina. It </w:t>
      </w:r>
      <w:r w:rsidRPr="00EB2A6E">
        <w:rPr>
          <w:rFonts w:asciiTheme="minorHAnsi" w:hAnsiTheme="minorHAnsi" w:cstheme="minorHAnsi"/>
          <w:i/>
          <w:sz w:val="22"/>
          <w:szCs w:val="22"/>
        </w:rPr>
        <w:t>was followed by a</w:t>
      </w:r>
      <w:r w:rsidR="00EB2A6E" w:rsidRPr="00EB2A6E">
        <w:rPr>
          <w:rFonts w:asciiTheme="minorHAnsi" w:hAnsiTheme="minorHAnsi" w:cstheme="minorHAnsi"/>
          <w:i/>
          <w:sz w:val="22"/>
          <w:szCs w:val="22"/>
        </w:rPr>
        <w:t>n animated</w:t>
      </w:r>
      <w:r w:rsidRPr="00EB2A6E">
        <w:rPr>
          <w:rFonts w:asciiTheme="minorHAnsi" w:hAnsiTheme="minorHAnsi" w:cstheme="minorHAnsi"/>
          <w:i/>
          <w:sz w:val="22"/>
          <w:szCs w:val="22"/>
        </w:rPr>
        <w:t xml:space="preserve"> Q&amp;A session.</w:t>
      </w:r>
    </w:p>
    <w:p w:rsidR="00EB2A6E" w:rsidRDefault="00EB2A6E" w:rsidP="00EB2A6E">
      <w:pPr>
        <w:pStyle w:val="HTMLPreformatted"/>
        <w:rPr>
          <w:rFonts w:asciiTheme="minorHAnsi" w:hAnsiTheme="minorHAnsi" w:cstheme="minorHAnsi"/>
        </w:rPr>
      </w:pPr>
    </w:p>
    <w:p w:rsidR="00630CBA" w:rsidRDefault="00630CBA" w:rsidP="00EB2A6E">
      <w:pPr>
        <w:pStyle w:val="HTMLPreformatted"/>
        <w:rPr>
          <w:rFonts w:asciiTheme="minorHAnsi" w:hAnsiTheme="minorHAnsi" w:cstheme="minorHAnsi"/>
        </w:rPr>
      </w:pPr>
    </w:p>
    <w:p w:rsidR="0075588B" w:rsidRPr="006218E7" w:rsidRDefault="0075588B" w:rsidP="0075588B">
      <w:pPr>
        <w:shd w:val="clear" w:color="auto" w:fill="FFFFFF"/>
        <w:autoSpaceDE w:val="0"/>
        <w:autoSpaceDN w:val="0"/>
        <w:spacing w:after="200" w:line="276" w:lineRule="auto"/>
        <w:jc w:val="both"/>
        <w:rPr>
          <w:b/>
          <w:sz w:val="24"/>
          <w:szCs w:val="24"/>
          <w:u w:val="single"/>
        </w:rPr>
      </w:pPr>
      <w:r w:rsidRPr="0075588B">
        <w:rPr>
          <w:rFonts w:asciiTheme="minorHAnsi" w:hAnsiTheme="minorHAnsi" w:cstheme="minorHAnsi"/>
          <w:u w:val="single"/>
        </w:rPr>
        <w:t>Summary</w:t>
      </w:r>
      <w:r>
        <w:rPr>
          <w:rFonts w:asciiTheme="minorHAnsi" w:hAnsiTheme="minorHAnsi" w:cstheme="minorHAnsi"/>
        </w:rPr>
        <w:t>:</w:t>
      </w:r>
    </w:p>
    <w:p w:rsidR="00921B30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jc w:val="both"/>
        <w:rPr>
          <w:b/>
          <w:u w:val="single"/>
        </w:rPr>
      </w:pPr>
      <w:r w:rsidRPr="002E6EDB">
        <w:rPr>
          <w:b/>
          <w:u w:val="single"/>
        </w:rPr>
        <w:t>On the impact of COVID 19</w:t>
      </w:r>
      <w:r>
        <w:rPr>
          <w:b/>
          <w:u w:val="single"/>
        </w:rPr>
        <w:t xml:space="preserve"> on the economy</w:t>
      </w:r>
    </w:p>
    <w:p w:rsidR="00921B30" w:rsidRPr="002E6EDB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 w:rsidRPr="00CB2E2B">
        <w:t xml:space="preserve">The 90-day-long lockdown in </w:t>
      </w:r>
      <w:r w:rsidR="0075588B">
        <w:t xml:space="preserve">a </w:t>
      </w:r>
      <w:r w:rsidRPr="00CB2E2B">
        <w:t>country like Argentina</w:t>
      </w:r>
      <w:r w:rsidR="0075588B">
        <w:t>, with its vast extension and federal power,</w:t>
      </w:r>
      <w:r>
        <w:t xml:space="preserve"> </w:t>
      </w:r>
      <w:r w:rsidRPr="00CB2E2B">
        <w:t>pose</w:t>
      </w:r>
      <w:r w:rsidR="0075588B">
        <w:t>s</w:t>
      </w:r>
      <w:r w:rsidRPr="00CB2E2B">
        <w:t xml:space="preserve"> a big challenge for companies</w:t>
      </w:r>
      <w:r>
        <w:t xml:space="preserve">. </w:t>
      </w:r>
    </w:p>
    <w:p w:rsidR="00921B30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>During the first 15 days</w:t>
      </w:r>
      <w:r w:rsidR="00110276">
        <w:t xml:space="preserve"> of the lockdown,</w:t>
      </w:r>
      <w:r>
        <w:t xml:space="preserve"> the </w:t>
      </w:r>
      <w:r w:rsidR="00110276">
        <w:t xml:space="preserve">main </w:t>
      </w:r>
      <w:r>
        <w:t xml:space="preserve">goal was to guarantee supply in essential sectors. Companies worked hard to </w:t>
      </w:r>
      <w:r w:rsidRPr="00CB2E2B">
        <w:t>guarantee supply at competitive prices</w:t>
      </w:r>
      <w:r w:rsidR="00EB2A6E">
        <w:t xml:space="preserve"> and t</w:t>
      </w:r>
      <w:r>
        <w:t xml:space="preserve">hey were successful to avoid supply problems, </w:t>
      </w:r>
      <w:r w:rsidR="00110276">
        <w:t>with the help of</w:t>
      </w:r>
      <w:r>
        <w:t xml:space="preserve"> a fluid dialogue with trade unions. </w:t>
      </w:r>
    </w:p>
    <w:p w:rsidR="00110276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 xml:space="preserve">After the first 15 days, the </w:t>
      </w:r>
      <w:r w:rsidR="00110276">
        <w:t xml:space="preserve">main </w:t>
      </w:r>
      <w:r>
        <w:t xml:space="preserve">goal was to </w:t>
      </w:r>
      <w:r w:rsidR="00110276">
        <w:t>provide support</w:t>
      </w:r>
      <w:r>
        <w:t xml:space="preserve"> </w:t>
      </w:r>
      <w:r w:rsidR="00110276">
        <w:t xml:space="preserve">to </w:t>
      </w:r>
      <w:r>
        <w:t xml:space="preserve">companies </w:t>
      </w:r>
      <w:r w:rsidR="00110276">
        <w:t>through</w:t>
      </w:r>
      <w:r>
        <w:t xml:space="preserve"> compensatory measures </w:t>
      </w:r>
      <w:r w:rsidR="00110276">
        <w:t>targeted at the most</w:t>
      </w:r>
      <w:r>
        <w:t xml:space="preserve"> affected sectors. </w:t>
      </w:r>
    </w:p>
    <w:p w:rsidR="00921B30" w:rsidRDefault="00110276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>Since the first day of the lockdown</w:t>
      </w:r>
      <w:r w:rsidR="00921B30">
        <w:t xml:space="preserve">, UIA has worked </w:t>
      </w:r>
      <w:r>
        <w:t>o</w:t>
      </w:r>
      <w:r w:rsidR="00921B30">
        <w:t>n a plan address</w:t>
      </w:r>
      <w:r>
        <w:t>ing its</w:t>
      </w:r>
      <w:r w:rsidR="00921B30">
        <w:t xml:space="preserve"> economic impact.</w:t>
      </w:r>
      <w:r w:rsidR="00921B30" w:rsidRPr="005D13CD">
        <w:t xml:space="preserve"> </w:t>
      </w:r>
      <w:r w:rsidR="00921B30">
        <w:t>The objective was to sustain employment and activity. The plan cover</w:t>
      </w:r>
      <w:r>
        <w:t>s</w:t>
      </w:r>
      <w:r w:rsidR="00921B30">
        <w:t xml:space="preserve"> three issues: </w:t>
      </w:r>
    </w:p>
    <w:p w:rsidR="00921B30" w:rsidRDefault="00921B30" w:rsidP="00921B30">
      <w:pPr>
        <w:pStyle w:val="ListParagraph"/>
        <w:numPr>
          <w:ilvl w:val="1"/>
          <w:numId w:val="9"/>
        </w:numPr>
        <w:spacing w:after="160" w:line="259" w:lineRule="auto"/>
        <w:jc w:val="both"/>
      </w:pPr>
      <w:r>
        <w:t>Labour market (</w:t>
      </w:r>
      <w:r w:rsidR="00110276">
        <w:t>supporting regulations</w:t>
      </w:r>
      <w:r>
        <w:t xml:space="preserve">, </w:t>
      </w:r>
      <w:r w:rsidR="00110276">
        <w:t>prohibition</w:t>
      </w:r>
      <w:r>
        <w:t xml:space="preserve"> to </w:t>
      </w:r>
      <w:r w:rsidR="00110276">
        <w:t xml:space="preserve">lay off </w:t>
      </w:r>
      <w:r>
        <w:t xml:space="preserve">employees); </w:t>
      </w:r>
    </w:p>
    <w:p w:rsidR="00921B30" w:rsidRDefault="00921B30" w:rsidP="00921B30">
      <w:pPr>
        <w:pStyle w:val="ListParagraph"/>
        <w:numPr>
          <w:ilvl w:val="1"/>
          <w:numId w:val="9"/>
        </w:numPr>
        <w:spacing w:after="160" w:line="259" w:lineRule="auto"/>
        <w:jc w:val="both"/>
      </w:pPr>
      <w:r>
        <w:t>Financing/ credit (</w:t>
      </w:r>
      <w:r w:rsidR="00110276">
        <w:t xml:space="preserve">need to reinvent it, since they are </w:t>
      </w:r>
      <w:r>
        <w:t xml:space="preserve">insufficient, small and expensive); and </w:t>
      </w:r>
    </w:p>
    <w:p w:rsidR="00921B30" w:rsidRDefault="00921B30" w:rsidP="00921B30">
      <w:pPr>
        <w:pStyle w:val="ListParagraph"/>
        <w:numPr>
          <w:ilvl w:val="1"/>
          <w:numId w:val="9"/>
        </w:numPr>
        <w:spacing w:after="160" w:line="259" w:lineRule="auto"/>
        <w:jc w:val="both"/>
      </w:pPr>
      <w:r>
        <w:t>Tax</w:t>
      </w:r>
      <w:r w:rsidR="00110276">
        <w:t>es</w:t>
      </w:r>
      <w:r>
        <w:t xml:space="preserve"> (huge </w:t>
      </w:r>
      <w:r w:rsidR="00110276">
        <w:t xml:space="preserve">fiscal </w:t>
      </w:r>
      <w:r>
        <w:t>pressure suffocat</w:t>
      </w:r>
      <w:r w:rsidR="00110276">
        <w:t>ing</w:t>
      </w:r>
      <w:r>
        <w:t xml:space="preserve"> companies).</w:t>
      </w:r>
    </w:p>
    <w:p w:rsidR="00921B30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 xml:space="preserve">The government implemented measures based on UIA’s agenda: </w:t>
      </w:r>
    </w:p>
    <w:p w:rsidR="00921B30" w:rsidRDefault="00921B30" w:rsidP="00921B30">
      <w:pPr>
        <w:pStyle w:val="ListParagraph"/>
        <w:numPr>
          <w:ilvl w:val="1"/>
          <w:numId w:val="9"/>
        </w:numPr>
        <w:spacing w:after="160" w:line="259" w:lineRule="auto"/>
        <w:jc w:val="both"/>
      </w:pPr>
      <w:r>
        <w:lastRenderedPageBreak/>
        <w:t xml:space="preserve">ATP (government pays 50% of salaries); framework to pay 75% of net salaries for suspended workers (agreement 223 bis.), including the reduction of labour taxes; </w:t>
      </w:r>
    </w:p>
    <w:p w:rsidR="00921B30" w:rsidRDefault="00921B30" w:rsidP="00921B30">
      <w:pPr>
        <w:pStyle w:val="ListParagraph"/>
        <w:numPr>
          <w:ilvl w:val="1"/>
          <w:numId w:val="9"/>
        </w:numPr>
        <w:spacing w:after="160" w:line="259" w:lineRule="auto"/>
        <w:jc w:val="both"/>
      </w:pPr>
      <w:r>
        <w:t xml:space="preserve">24% interest rate from the central bank; and </w:t>
      </w:r>
    </w:p>
    <w:p w:rsidR="00921B30" w:rsidRDefault="00921B30" w:rsidP="00921B30">
      <w:pPr>
        <w:pStyle w:val="ListParagraph"/>
        <w:numPr>
          <w:ilvl w:val="1"/>
          <w:numId w:val="9"/>
        </w:numPr>
        <w:spacing w:after="160" w:line="259" w:lineRule="auto"/>
        <w:jc w:val="both"/>
      </w:pPr>
      <w:r>
        <w:t xml:space="preserve">AFIP deferred taxes in general to provide tranquillity during the first month of the lockdown.  </w:t>
      </w:r>
    </w:p>
    <w:p w:rsidR="00921B30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 w:rsidRPr="002E6EDB">
        <w:t xml:space="preserve">It should </w:t>
      </w:r>
      <w:r w:rsidR="006D2987">
        <w:t xml:space="preserve">however </w:t>
      </w:r>
      <w:r w:rsidRPr="002E6EDB">
        <w:t xml:space="preserve">be noted that many companies decided not to accept the Government’s help due its conditionality (companies that accept the help cannot buy USD </w:t>
      </w:r>
      <w:r w:rsidR="006D2987">
        <w:t>at</w:t>
      </w:r>
      <w:r w:rsidRPr="002E6EDB">
        <w:t xml:space="preserve"> the stock exchange</w:t>
      </w:r>
      <w:r w:rsidR="006D2987">
        <w:t xml:space="preserve"> or</w:t>
      </w:r>
      <w:r w:rsidRPr="002E6EDB">
        <w:t xml:space="preserve"> send profits abroad for years, etc).</w:t>
      </w:r>
      <w:r>
        <w:t xml:space="preserve"> </w:t>
      </w:r>
    </w:p>
    <w:p w:rsidR="00921B30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 xml:space="preserve">April was the worst </w:t>
      </w:r>
      <w:r w:rsidR="006D2987">
        <w:t xml:space="preserve">economic </w:t>
      </w:r>
      <w:r>
        <w:t>month since 2002 (-35% in industrial activity). In May</w:t>
      </w:r>
      <w:r w:rsidR="006D2987">
        <w:t>,</w:t>
      </w:r>
      <w:r>
        <w:t xml:space="preserve"> the </w:t>
      </w:r>
      <w:r w:rsidR="006D2987">
        <w:t>decline</w:t>
      </w:r>
      <w:r>
        <w:t xml:space="preserve"> continued. </w:t>
      </w:r>
      <w:r w:rsidR="006D2987">
        <w:t>C</w:t>
      </w:r>
      <w:r>
        <w:t xml:space="preserve">ompanies </w:t>
      </w:r>
      <w:r w:rsidR="006D2987">
        <w:t>we</w:t>
      </w:r>
      <w:r>
        <w:t xml:space="preserve">re still </w:t>
      </w:r>
      <w:r w:rsidR="006D2987">
        <w:t xml:space="preserve">closed or </w:t>
      </w:r>
      <w:r>
        <w:t>not working at full capacity</w:t>
      </w:r>
      <w:r w:rsidR="006D2987">
        <w:t>, and</w:t>
      </w:r>
      <w:r>
        <w:t xml:space="preserve"> the fall in sales and activity continued. In June</w:t>
      </w:r>
      <w:r w:rsidR="006D2987">
        <w:t>, there is a slow</w:t>
      </w:r>
      <w:r>
        <w:t xml:space="preserve"> recovery, due to the</w:t>
      </w:r>
      <w:r w:rsidR="006D2987">
        <w:t xml:space="preserve"> partial</w:t>
      </w:r>
      <w:r>
        <w:t xml:space="preserve"> reopening of the quarantine.</w:t>
      </w:r>
    </w:p>
    <w:p w:rsidR="00921B30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>In the last 45 days, the goals were to reopen activit</w:t>
      </w:r>
      <w:r w:rsidR="00BE3581">
        <w:t>ies and sectors,</w:t>
      </w:r>
      <w:r>
        <w:t xml:space="preserve"> and </w:t>
      </w:r>
      <w:r w:rsidR="00BE3581">
        <w:t>to apply</w:t>
      </w:r>
      <w:r>
        <w:t xml:space="preserve"> </w:t>
      </w:r>
      <w:r w:rsidR="00BE3581">
        <w:t>an</w:t>
      </w:r>
      <w:r>
        <w:t xml:space="preserve"> economic policy sustain</w:t>
      </w:r>
      <w:r w:rsidR="00BE3581">
        <w:t>ing those</w:t>
      </w:r>
      <w:r>
        <w:t xml:space="preserve"> activit</w:t>
      </w:r>
      <w:r w:rsidR="00BE3581">
        <w:t>ies</w:t>
      </w:r>
      <w:r>
        <w:t xml:space="preserve">. However, last month the central bank raised again interest rates. </w:t>
      </w:r>
      <w:r w:rsidR="00BE3581">
        <w:t>The conservative policy in form of limited</w:t>
      </w:r>
      <w:r>
        <w:t xml:space="preserve"> financing, fiscal restrictions, foreign exchange restrictions affected </w:t>
      </w:r>
      <w:r w:rsidR="00BE3581">
        <w:t>industrial</w:t>
      </w:r>
      <w:r>
        <w:t xml:space="preserve"> production. </w:t>
      </w:r>
    </w:p>
    <w:p w:rsidR="00921B30" w:rsidRDefault="00921B30" w:rsidP="00921B30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>The agenda turned to be more “tense”. Since the economy is more vulnerable, debt renegotiation</w:t>
      </w:r>
      <w:r w:rsidR="00BE3581">
        <w:t>s</w:t>
      </w:r>
      <w:r>
        <w:t xml:space="preserve"> extend</w:t>
      </w:r>
      <w:r w:rsidR="00BE3581">
        <w:t>ed</w:t>
      </w:r>
      <w:r>
        <w:t>, and there is no</w:t>
      </w:r>
      <w:r w:rsidR="00BE3581">
        <w:t xml:space="preserve"> consistent</w:t>
      </w:r>
      <w:r>
        <w:t xml:space="preserve"> macroeconomic programme.</w:t>
      </w:r>
    </w:p>
    <w:p w:rsidR="00921B30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jc w:val="both"/>
        <w:rPr>
          <w:b/>
          <w:u w:val="single"/>
        </w:rPr>
      </w:pPr>
      <w:r>
        <w:rPr>
          <w:b/>
          <w:u w:val="single"/>
        </w:rPr>
        <w:t xml:space="preserve">On </w:t>
      </w:r>
      <w:r w:rsidRPr="002E6EDB">
        <w:rPr>
          <w:b/>
          <w:u w:val="single"/>
        </w:rPr>
        <w:t>Employment</w:t>
      </w:r>
    </w:p>
    <w:p w:rsidR="00921B30" w:rsidRPr="002E6EDB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pStyle w:val="ListParagraph"/>
        <w:numPr>
          <w:ilvl w:val="0"/>
          <w:numId w:val="10"/>
        </w:numPr>
        <w:spacing w:after="160" w:line="259" w:lineRule="auto"/>
        <w:jc w:val="both"/>
      </w:pPr>
      <w:r>
        <w:t xml:space="preserve">Employment dynamics are very complex. </w:t>
      </w:r>
    </w:p>
    <w:p w:rsidR="00921B30" w:rsidRDefault="00921B30" w:rsidP="00921B30">
      <w:pPr>
        <w:pStyle w:val="ListParagraph"/>
        <w:numPr>
          <w:ilvl w:val="0"/>
          <w:numId w:val="10"/>
        </w:numPr>
        <w:spacing w:after="160" w:line="259" w:lineRule="auto"/>
        <w:jc w:val="both"/>
      </w:pPr>
      <w:r>
        <w:t xml:space="preserve">There are many rigidities in the labour market (double severance payments, high labour taxes). These heavy </w:t>
      </w:r>
      <w:r w:rsidR="00BE3581">
        <w:t>burdens for employers</w:t>
      </w:r>
      <w:r>
        <w:t xml:space="preserve"> are effective in the short term, but ineffective in the long term</w:t>
      </w:r>
      <w:r w:rsidR="00BE3581">
        <w:t>, as n</w:t>
      </w:r>
      <w:r>
        <w:t xml:space="preserve">obody </w:t>
      </w:r>
      <w:r w:rsidR="00BE3581">
        <w:t xml:space="preserve">would </w:t>
      </w:r>
      <w:r>
        <w:t xml:space="preserve">want to employ </w:t>
      </w:r>
      <w:r w:rsidR="00BE3581">
        <w:t xml:space="preserve">new </w:t>
      </w:r>
      <w:r>
        <w:t>people</w:t>
      </w:r>
      <w:r w:rsidR="00BE3581">
        <w:t xml:space="preserve"> and </w:t>
      </w:r>
      <w:r>
        <w:t xml:space="preserve">there are </w:t>
      </w:r>
      <w:r w:rsidR="00BE3581">
        <w:t xml:space="preserve">internal </w:t>
      </w:r>
      <w:r>
        <w:t xml:space="preserve">agreements </w:t>
      </w:r>
      <w:r w:rsidR="00BE3581">
        <w:t>on</w:t>
      </w:r>
      <w:r>
        <w:t xml:space="preserve"> job cuts. </w:t>
      </w:r>
    </w:p>
    <w:p w:rsidR="00921B30" w:rsidRDefault="00921B30" w:rsidP="00921B30">
      <w:pPr>
        <w:pStyle w:val="ListParagraph"/>
        <w:numPr>
          <w:ilvl w:val="0"/>
          <w:numId w:val="10"/>
        </w:numPr>
        <w:spacing w:after="160" w:line="259" w:lineRule="auto"/>
        <w:jc w:val="both"/>
      </w:pPr>
      <w:r>
        <w:t xml:space="preserve">Companies that do not have the </w:t>
      </w:r>
      <w:r w:rsidR="00BE3581">
        <w:t>financial resources</w:t>
      </w:r>
      <w:r>
        <w:t xml:space="preserve"> just do not pay and go bankrupt. Unemployment number</w:t>
      </w:r>
      <w:r w:rsidR="00BE3581">
        <w:t>s</w:t>
      </w:r>
      <w:r>
        <w:t xml:space="preserve"> can </w:t>
      </w:r>
      <w:r w:rsidR="00BE3581">
        <w:t xml:space="preserve">therefore </w:t>
      </w:r>
      <w:r>
        <w:t xml:space="preserve">jump unexpectedly. Part of </w:t>
      </w:r>
      <w:r w:rsidR="003D789F">
        <w:t xml:space="preserve">the </w:t>
      </w:r>
      <w:r>
        <w:t>trade unions are responsible</w:t>
      </w:r>
      <w:r w:rsidR="003D789F">
        <w:t xml:space="preserve"> for this situation</w:t>
      </w:r>
      <w:r>
        <w:t xml:space="preserve">. </w:t>
      </w:r>
    </w:p>
    <w:p w:rsidR="00921B30" w:rsidRDefault="003D789F" w:rsidP="00921B30">
      <w:pPr>
        <w:pStyle w:val="ListParagraph"/>
        <w:numPr>
          <w:ilvl w:val="0"/>
          <w:numId w:val="10"/>
        </w:numPr>
        <w:spacing w:after="160" w:line="259" w:lineRule="auto"/>
        <w:jc w:val="both"/>
      </w:pPr>
      <w:r>
        <w:t>L</w:t>
      </w:r>
      <w:r w:rsidR="00921B30">
        <w:t xml:space="preserve">ack of </w:t>
      </w:r>
      <w:r>
        <w:t>sufficient</w:t>
      </w:r>
      <w:r w:rsidR="00921B30">
        <w:t xml:space="preserve"> public transportation complicates the restart of many sectors and employment.</w:t>
      </w:r>
    </w:p>
    <w:p w:rsidR="00921B30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jc w:val="both"/>
        <w:rPr>
          <w:b/>
          <w:u w:val="single"/>
        </w:rPr>
      </w:pPr>
      <w:r>
        <w:rPr>
          <w:b/>
          <w:u w:val="single"/>
        </w:rPr>
        <w:t>On Exports and imports</w:t>
      </w:r>
    </w:p>
    <w:p w:rsidR="00921B30" w:rsidRPr="002E6EDB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pStyle w:val="ListParagraph"/>
        <w:numPr>
          <w:ilvl w:val="0"/>
          <w:numId w:val="11"/>
        </w:numPr>
        <w:spacing w:after="160" w:line="259" w:lineRule="auto"/>
        <w:jc w:val="both"/>
      </w:pPr>
      <w:r>
        <w:t xml:space="preserve">Exports are inelastic, and imports elastic. </w:t>
      </w:r>
    </w:p>
    <w:p w:rsidR="00795CE1" w:rsidRDefault="00795CE1" w:rsidP="00795CE1">
      <w:pPr>
        <w:pStyle w:val="ListParagraph"/>
        <w:numPr>
          <w:ilvl w:val="0"/>
          <w:numId w:val="11"/>
        </w:numPr>
        <w:spacing w:after="160" w:line="259" w:lineRule="auto"/>
        <w:jc w:val="both"/>
      </w:pPr>
      <w:r>
        <w:t>The wide gap between the official foreign exchange rate and the parallel exchange rate severely affected industrial exports.</w:t>
      </w:r>
    </w:p>
    <w:p w:rsidR="00921B30" w:rsidRDefault="00795CE1" w:rsidP="00921B30">
      <w:pPr>
        <w:pStyle w:val="ListParagraph"/>
        <w:numPr>
          <w:ilvl w:val="0"/>
          <w:numId w:val="11"/>
        </w:numPr>
        <w:spacing w:after="160" w:line="259" w:lineRule="auto"/>
        <w:jc w:val="both"/>
      </w:pPr>
      <w:r>
        <w:t>C</w:t>
      </w:r>
      <w:r w:rsidR="00921B30">
        <w:t>ar exports to Brazil have been severely affected (they are now at t</w:t>
      </w:r>
      <w:r w:rsidR="003D789F">
        <w:t>h</w:t>
      </w:r>
      <w:r w:rsidR="00921B30">
        <w:t xml:space="preserve">e level of 2004). Food exports to Brazil suffered less. </w:t>
      </w:r>
    </w:p>
    <w:p w:rsidR="00921B30" w:rsidRDefault="00921B30" w:rsidP="00921B30">
      <w:pPr>
        <w:pStyle w:val="ListParagraph"/>
        <w:numPr>
          <w:ilvl w:val="0"/>
          <w:numId w:val="11"/>
        </w:numPr>
        <w:spacing w:after="160" w:line="259" w:lineRule="auto"/>
        <w:jc w:val="both"/>
      </w:pPr>
      <w:r>
        <w:t xml:space="preserve">In services, exports continue </w:t>
      </w:r>
      <w:r w:rsidR="003D789F">
        <w:t xml:space="preserve">being </w:t>
      </w:r>
      <w:r>
        <w:t xml:space="preserve">high. The reform of the promotion law </w:t>
      </w:r>
      <w:r w:rsidR="003D789F">
        <w:t xml:space="preserve">of the software/knowledge sector is </w:t>
      </w:r>
      <w:r>
        <w:t xml:space="preserve">still is not ready, </w:t>
      </w:r>
      <w:r w:rsidR="003D789F">
        <w:t>but it</w:t>
      </w:r>
      <w:r>
        <w:t xml:space="preserve"> could </w:t>
      </w:r>
      <w:r w:rsidR="003D789F">
        <w:t xml:space="preserve">provide a </w:t>
      </w:r>
      <w:r>
        <w:t xml:space="preserve">boost </w:t>
      </w:r>
      <w:r w:rsidR="003D789F">
        <w:t xml:space="preserve">to </w:t>
      </w:r>
      <w:r>
        <w:t xml:space="preserve">the services sector. </w:t>
      </w:r>
    </w:p>
    <w:p w:rsidR="00921B30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jc w:val="both"/>
        <w:rPr>
          <w:b/>
          <w:u w:val="single"/>
        </w:rPr>
      </w:pPr>
      <w:r w:rsidRPr="001A6F41">
        <w:rPr>
          <w:b/>
          <w:u w:val="single"/>
        </w:rPr>
        <w:t>On Vicentin’s intervention</w:t>
      </w:r>
    </w:p>
    <w:p w:rsidR="00921B30" w:rsidRPr="001A6F41" w:rsidRDefault="00921B30" w:rsidP="00921B30">
      <w:pPr>
        <w:jc w:val="both"/>
        <w:rPr>
          <w:b/>
          <w:u w:val="single"/>
        </w:rPr>
      </w:pPr>
    </w:p>
    <w:p w:rsidR="00921B30" w:rsidRDefault="00921B30" w:rsidP="00921B30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t>Business</w:t>
      </w:r>
      <w:r w:rsidR="003D789F">
        <w:t xml:space="preserve"> is</w:t>
      </w:r>
      <w:r>
        <w:t xml:space="preserve"> very concerned about </w:t>
      </w:r>
      <w:r w:rsidR="003D789F">
        <w:t xml:space="preserve">the government´s decision to expropriate the agro company group </w:t>
      </w:r>
      <w:r>
        <w:t xml:space="preserve">Vicentin.  </w:t>
      </w:r>
    </w:p>
    <w:p w:rsidR="00921B30" w:rsidRDefault="003D789F" w:rsidP="00921B30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lastRenderedPageBreak/>
        <w:t xml:space="preserve">Though there is no belief that there will now be a wave of expropriations, in the absence of any </w:t>
      </w:r>
      <w:r w:rsidR="0006480E">
        <w:t xml:space="preserve">legal </w:t>
      </w:r>
      <w:r>
        <w:t>framework</w:t>
      </w:r>
      <w:r w:rsidR="0006480E">
        <w:t xml:space="preserve">, </w:t>
      </w:r>
      <w:r>
        <w:t>t</w:t>
      </w:r>
      <w:r w:rsidR="00921B30">
        <w:t>h</w:t>
      </w:r>
      <w:r>
        <w:t xml:space="preserve">is decision creates </w:t>
      </w:r>
      <w:r w:rsidR="00921B30">
        <w:t>a lot of uncertainty</w:t>
      </w:r>
      <w:r w:rsidR="0006480E">
        <w:t xml:space="preserve"> and </w:t>
      </w:r>
      <w:r w:rsidR="00921B30">
        <w:t>put</w:t>
      </w:r>
      <w:r w:rsidR="0006480E">
        <w:t>s</w:t>
      </w:r>
      <w:r w:rsidR="00921B30">
        <w:t xml:space="preserve"> companies in </w:t>
      </w:r>
      <w:r>
        <w:t>a</w:t>
      </w:r>
      <w:r w:rsidR="00921B30">
        <w:t xml:space="preserve"> defensive position. </w:t>
      </w:r>
    </w:p>
    <w:p w:rsidR="00921B30" w:rsidRDefault="0006480E" w:rsidP="00921B30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t xml:space="preserve">The </w:t>
      </w:r>
      <w:r w:rsidR="00921B30">
        <w:t xml:space="preserve">coalition </w:t>
      </w:r>
      <w:r>
        <w:t xml:space="preserve">structure of the </w:t>
      </w:r>
      <w:r w:rsidR="00921B30">
        <w:t>government</w:t>
      </w:r>
      <w:r>
        <w:t xml:space="preserve"> makes c</w:t>
      </w:r>
      <w:r w:rsidR="00921B30">
        <w:t xml:space="preserve">onsensus </w:t>
      </w:r>
      <w:r>
        <w:t>on</w:t>
      </w:r>
      <w:r w:rsidR="00921B30">
        <w:t xml:space="preserve"> complex decision</w:t>
      </w:r>
      <w:r>
        <w:t>s</w:t>
      </w:r>
      <w:r w:rsidR="00921B30">
        <w:t xml:space="preserve"> almost impossible. </w:t>
      </w:r>
    </w:p>
    <w:p w:rsidR="00921B30" w:rsidRDefault="0006480E" w:rsidP="00921B30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t xml:space="preserve">UIA does not </w:t>
      </w:r>
      <w:r w:rsidR="00921B30">
        <w:t xml:space="preserve">expect the outcome </w:t>
      </w:r>
      <w:r>
        <w:t xml:space="preserve">to </w:t>
      </w:r>
      <w:r w:rsidR="00921B30">
        <w:t>be so negative</w:t>
      </w:r>
      <w:r>
        <w:t xml:space="preserve">, but </w:t>
      </w:r>
      <w:r w:rsidR="00921B30">
        <w:t xml:space="preserve">is worried </w:t>
      </w:r>
      <w:r>
        <w:t xml:space="preserve">about the </w:t>
      </w:r>
      <w:r w:rsidR="00921B30">
        <w:t xml:space="preserve">legality and property rights. </w:t>
      </w:r>
    </w:p>
    <w:p w:rsidR="00921B30" w:rsidRDefault="00921B30" w:rsidP="00921B30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t xml:space="preserve">The </w:t>
      </w:r>
      <w:r w:rsidR="0006480E">
        <w:t xml:space="preserve">approach of the </w:t>
      </w:r>
      <w:r>
        <w:t xml:space="preserve">Minister of </w:t>
      </w:r>
      <w:r w:rsidR="0006480E">
        <w:t>E</w:t>
      </w:r>
      <w:r>
        <w:t xml:space="preserve">conomy </w:t>
      </w:r>
      <w:r w:rsidR="0006480E">
        <w:t xml:space="preserve">is in general </w:t>
      </w:r>
      <w:r>
        <w:t xml:space="preserve">more pro-business and pro-investment than </w:t>
      </w:r>
      <w:r w:rsidR="0006480E">
        <w:t xml:space="preserve">the one of </w:t>
      </w:r>
      <w:r>
        <w:t xml:space="preserve">the political </w:t>
      </w:r>
      <w:r w:rsidR="0006480E">
        <w:t xml:space="preserve">government </w:t>
      </w:r>
      <w:r>
        <w:t xml:space="preserve">wing. Governors </w:t>
      </w:r>
      <w:r w:rsidR="0006480E">
        <w:t>are in general against</w:t>
      </w:r>
      <w:r>
        <w:t xml:space="preserve"> the expropriation. </w:t>
      </w:r>
    </w:p>
    <w:p w:rsidR="00921B30" w:rsidRDefault="00921B30" w:rsidP="00921B30">
      <w:pPr>
        <w:jc w:val="both"/>
      </w:pPr>
    </w:p>
    <w:p w:rsidR="00921B30" w:rsidRDefault="00921B30" w:rsidP="00921B30">
      <w:pPr>
        <w:jc w:val="both"/>
        <w:rPr>
          <w:b/>
          <w:u w:val="single"/>
        </w:rPr>
      </w:pPr>
      <w:r w:rsidRPr="008A75CE">
        <w:rPr>
          <w:b/>
          <w:u w:val="single"/>
        </w:rPr>
        <w:t>The next 30 days are very important for the future</w:t>
      </w:r>
    </w:p>
    <w:p w:rsidR="00921B30" w:rsidRPr="008A75CE" w:rsidRDefault="00921B30" w:rsidP="00921B30">
      <w:pPr>
        <w:jc w:val="both"/>
        <w:rPr>
          <w:b/>
          <w:u w:val="single"/>
        </w:rPr>
      </w:pPr>
    </w:p>
    <w:p w:rsidR="0006480E" w:rsidRDefault="00921B30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>Dialogue does not imply agreement. In the first days of the lockdown there were agreements. But the last month</w:t>
      </w:r>
      <w:r w:rsidR="0006480E">
        <w:t xml:space="preserve"> showed frictions and unsolved issues</w:t>
      </w:r>
      <w:r>
        <w:t xml:space="preserve">: Vincentin, forex measures, lack of resolution of the debt negotiation, etc. </w:t>
      </w:r>
    </w:p>
    <w:p w:rsidR="00921B30" w:rsidRDefault="00921B30" w:rsidP="00075BE7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>The next 30 days will be key</w:t>
      </w:r>
      <w:r w:rsidR="0006480E">
        <w:t>, as d</w:t>
      </w:r>
      <w:r>
        <w:t xml:space="preserve">ebt renegotiation must be solved, </w:t>
      </w:r>
      <w:r w:rsidR="0006480E">
        <w:t>together with</w:t>
      </w:r>
      <w:r>
        <w:t xml:space="preserve"> other issues (financing, fiscal policy, macro plan)</w:t>
      </w:r>
      <w:r w:rsidR="0006480E">
        <w:t xml:space="preserve">, in order to provide a push to </w:t>
      </w:r>
      <w:r>
        <w:t xml:space="preserve">the economy after the pandemics. </w:t>
      </w:r>
    </w:p>
    <w:p w:rsidR="00921B30" w:rsidRDefault="00921B30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>The debt renegotiation will alleviate the need of USD</w:t>
      </w:r>
      <w:r w:rsidR="0006480E">
        <w:t>,</w:t>
      </w:r>
      <w:r>
        <w:t xml:space="preserve"> which will gi</w:t>
      </w:r>
      <w:r w:rsidR="0006480E">
        <w:t>ve to the government margin to d</w:t>
      </w:r>
      <w:r>
        <w:t xml:space="preserve">raft a macroeconomic plan that </w:t>
      </w:r>
      <w:r w:rsidR="0006480E">
        <w:t>provid</w:t>
      </w:r>
      <w:r>
        <w:t>es certainty for some years.</w:t>
      </w:r>
    </w:p>
    <w:p w:rsidR="00921B30" w:rsidRDefault="00921B30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 xml:space="preserve">The availability of </w:t>
      </w:r>
      <w:r w:rsidR="0006480E">
        <w:t>USD</w:t>
      </w:r>
      <w:r>
        <w:t xml:space="preserve"> has conditioned growth during the last government of C</w:t>
      </w:r>
      <w:r w:rsidR="005C6646">
        <w:t>. Kirchner</w:t>
      </w:r>
      <w:r>
        <w:t xml:space="preserve"> and Mauricio Macri.</w:t>
      </w:r>
      <w:r w:rsidR="00630CBA">
        <w:t xml:space="preserve"> The government will not repeat the mistake of the Macri government to focus too much on the mid-term elections.</w:t>
      </w:r>
    </w:p>
    <w:p w:rsidR="00921B30" w:rsidRDefault="00921B30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>If debt negotiations are successful</w:t>
      </w:r>
      <w:r w:rsidR="005C6646">
        <w:t>,</w:t>
      </w:r>
      <w:r>
        <w:t xml:space="preserve"> the Central bank will be able to alleviate</w:t>
      </w:r>
      <w:r w:rsidR="005C6646">
        <w:t xml:space="preserve"> exchange</w:t>
      </w:r>
      <w:r>
        <w:t xml:space="preserve"> controls</w:t>
      </w:r>
      <w:r w:rsidR="005C6646">
        <w:t xml:space="preserve"> and </w:t>
      </w:r>
      <w:r>
        <w:t xml:space="preserve"> </w:t>
      </w:r>
      <w:r w:rsidR="001D28F3">
        <w:t xml:space="preserve">margin for public </w:t>
      </w:r>
      <w:r w:rsidR="005C6646">
        <w:t>investments</w:t>
      </w:r>
      <w:r w:rsidR="00630CBA">
        <w:t xml:space="preserve"> will increase (lower country risk, financing lines9</w:t>
      </w:r>
      <w:r>
        <w:t>.</w:t>
      </w:r>
    </w:p>
    <w:p w:rsidR="001D28F3" w:rsidRDefault="001D28F3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 xml:space="preserve">During </w:t>
      </w:r>
      <w:r w:rsidR="00921B30">
        <w:t xml:space="preserve">the last month, the </w:t>
      </w:r>
      <w:r>
        <w:t xml:space="preserve">widening </w:t>
      </w:r>
      <w:r w:rsidR="00921B30">
        <w:t>gap</w:t>
      </w:r>
      <w:r>
        <w:t xml:space="preserve"> </w:t>
      </w:r>
      <w:r w:rsidR="00921B30">
        <w:t xml:space="preserve">between the </w:t>
      </w:r>
      <w:r>
        <w:t xml:space="preserve">various </w:t>
      </w:r>
      <w:r w:rsidR="00921B30">
        <w:t xml:space="preserve">USD </w:t>
      </w:r>
      <w:r>
        <w:t>exchange rates</w:t>
      </w:r>
      <w:r w:rsidR="00921B30">
        <w:t xml:space="preserve"> fuelled speculation. </w:t>
      </w:r>
      <w:r>
        <w:t>Within</w:t>
      </w:r>
      <w:r w:rsidR="00921B30">
        <w:t xml:space="preserve"> 2 weeks</w:t>
      </w:r>
      <w:r>
        <w:t>,</w:t>
      </w:r>
      <w:r w:rsidR="00921B30">
        <w:t xml:space="preserve"> the Central Bank lost USD 1Bn in reserves. After the tightening of restrictions, </w:t>
      </w:r>
      <w:r>
        <w:t xml:space="preserve">the Central Bank managed to </w:t>
      </w:r>
      <w:r w:rsidR="00921B30">
        <w:t>recover the lost reserves</w:t>
      </w:r>
      <w:r>
        <w:t xml:space="preserve"> and</w:t>
      </w:r>
      <w:r w:rsidR="00921B30">
        <w:t xml:space="preserve"> loosened </w:t>
      </w:r>
      <w:r>
        <w:t xml:space="preserve">some </w:t>
      </w:r>
      <w:r w:rsidR="00921B30">
        <w:t xml:space="preserve">restrictions. </w:t>
      </w:r>
    </w:p>
    <w:p w:rsidR="00921B30" w:rsidRDefault="00921B30" w:rsidP="006E159F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 xml:space="preserve">If debt negotiation </w:t>
      </w:r>
      <w:r w:rsidR="001D28F3">
        <w:t>are</w:t>
      </w:r>
      <w:r>
        <w:t xml:space="preserve"> not successful, capital controls will be increased. </w:t>
      </w:r>
      <w:r w:rsidR="001D28F3">
        <w:t>The persisting</w:t>
      </w:r>
      <w:r>
        <w:t xml:space="preserve"> gap between the USD </w:t>
      </w:r>
      <w:r w:rsidR="001D28F3">
        <w:t>exchange rates</w:t>
      </w:r>
      <w:r>
        <w:t xml:space="preserve"> </w:t>
      </w:r>
      <w:r w:rsidR="001D28F3">
        <w:t>w</w:t>
      </w:r>
      <w:r w:rsidR="00F41E74">
        <w:t>ill</w:t>
      </w:r>
      <w:r w:rsidR="001D28F3">
        <w:t xml:space="preserve"> </w:t>
      </w:r>
      <w:r>
        <w:t>severely affect</w:t>
      </w:r>
      <w:r w:rsidR="001D28F3">
        <w:t xml:space="preserve"> the economy</w:t>
      </w:r>
      <w:r>
        <w:t xml:space="preserve"> (supply restrictions, </w:t>
      </w:r>
      <w:r w:rsidR="001D28F3">
        <w:t>price increases</w:t>
      </w:r>
      <w:r>
        <w:t xml:space="preserve">, etc.). In this scenario, they will look for a scapegoat and attack the symptoms, as they did with the tightening of the foreign exchange restriction weeks ago. </w:t>
      </w:r>
    </w:p>
    <w:p w:rsidR="00921B30" w:rsidRDefault="00921B30" w:rsidP="00F979BB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 xml:space="preserve">The government </w:t>
      </w:r>
      <w:r w:rsidR="00F41E74">
        <w:t xml:space="preserve">faces the challenge to </w:t>
      </w:r>
      <w:r>
        <w:t xml:space="preserve">need for 2021 elections </w:t>
      </w:r>
      <w:r w:rsidR="00F41E74">
        <w:t xml:space="preserve">both </w:t>
      </w:r>
      <w:r>
        <w:t>good economic and sanitary result</w:t>
      </w:r>
      <w:r w:rsidR="00F41E74">
        <w:t>s</w:t>
      </w:r>
      <w:r>
        <w:t>. If the economy and the pandemics go to the wrong side, it could be very bad. At least one has to go to the right side.</w:t>
      </w:r>
    </w:p>
    <w:p w:rsidR="00F41E74" w:rsidRDefault="00921B30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 xml:space="preserve">To exit the recession, the following is needed: </w:t>
      </w:r>
      <w:r w:rsidR="00630CBA">
        <w:t>a successful debt negotiation</w:t>
      </w:r>
      <w:r>
        <w:t>, a consistent macroeconomic plan, and a scheme of guarantee</w:t>
      </w:r>
      <w:r w:rsidR="00F41E74">
        <w:t>s</w:t>
      </w:r>
      <w:r>
        <w:t xml:space="preserve"> to finance working capital. </w:t>
      </w:r>
    </w:p>
    <w:p w:rsidR="00CE2609" w:rsidRDefault="00921B30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 xml:space="preserve">The lack of </w:t>
      </w:r>
      <w:r w:rsidR="00F41E74">
        <w:t>USD</w:t>
      </w:r>
      <w:r>
        <w:t xml:space="preserve"> </w:t>
      </w:r>
      <w:r w:rsidR="00CE2609">
        <w:t xml:space="preserve">due to debt negotiations, recession, and the effect of the pandemics on industrial production and tourism </w:t>
      </w:r>
      <w:r>
        <w:t xml:space="preserve">is the key problem. </w:t>
      </w:r>
    </w:p>
    <w:p w:rsidR="00921B30" w:rsidRDefault="00CE2609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 xml:space="preserve">More </w:t>
      </w:r>
      <w:r w:rsidR="00921B30">
        <w:t xml:space="preserve">fiscal margin </w:t>
      </w:r>
      <w:r>
        <w:t>should focus on</w:t>
      </w:r>
      <w:r w:rsidR="00921B30">
        <w:t xml:space="preserve"> </w:t>
      </w:r>
      <w:r>
        <w:t>investments and exports in</w:t>
      </w:r>
      <w:r w:rsidR="00921B30">
        <w:t xml:space="preserve"> food, oil, mining, new technologies, digitalisation,</w:t>
      </w:r>
      <w:r>
        <w:t xml:space="preserve"> and knowledge services</w:t>
      </w:r>
      <w:r w:rsidR="00921B30">
        <w:t xml:space="preserve">. </w:t>
      </w:r>
    </w:p>
    <w:p w:rsidR="00921B30" w:rsidRDefault="00921B30" w:rsidP="00921B30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lastRenderedPageBreak/>
        <w:t xml:space="preserve">Vicentin and the acceleration of the </w:t>
      </w:r>
      <w:r w:rsidR="00F41E74">
        <w:t>pandemics</w:t>
      </w:r>
      <w:r>
        <w:t xml:space="preserve"> pace have overshadowed the discussion of policies to exit from the recession. </w:t>
      </w:r>
    </w:p>
    <w:p w:rsidR="00921B30" w:rsidRDefault="00921B30" w:rsidP="00921B30">
      <w:pPr>
        <w:jc w:val="both"/>
      </w:pPr>
    </w:p>
    <w:p w:rsidR="00921B30" w:rsidRDefault="00921B30" w:rsidP="00921B30">
      <w:pPr>
        <w:jc w:val="both"/>
        <w:rPr>
          <w:b/>
          <w:u w:val="single"/>
        </w:rPr>
      </w:pPr>
      <w:r w:rsidRPr="008A75CE">
        <w:rPr>
          <w:b/>
          <w:u w:val="single"/>
        </w:rPr>
        <w:t>On Argentina’s relations with Brazil and MERCOSUR</w:t>
      </w:r>
    </w:p>
    <w:p w:rsidR="00921B30" w:rsidRPr="008A75CE" w:rsidRDefault="00921B30" w:rsidP="00921B30">
      <w:pPr>
        <w:jc w:val="both"/>
        <w:rPr>
          <w:b/>
          <w:u w:val="single"/>
        </w:rPr>
      </w:pPr>
    </w:p>
    <w:p w:rsidR="00921B30" w:rsidRDefault="005C6646" w:rsidP="00921B30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>There are w</w:t>
      </w:r>
      <w:r w:rsidR="00921B30">
        <w:t>orrie</w:t>
      </w:r>
      <w:r>
        <w:t>s</w:t>
      </w:r>
      <w:r w:rsidR="00921B30">
        <w:t xml:space="preserve"> about Brazil’s situation. </w:t>
      </w:r>
      <w:r w:rsidR="00921B30" w:rsidRPr="00FC38FE">
        <w:t xml:space="preserve"> </w:t>
      </w:r>
    </w:p>
    <w:p w:rsidR="00921B30" w:rsidRDefault="00921B30" w:rsidP="00921B30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>Brazil has a better financial situation</w:t>
      </w:r>
      <w:r w:rsidR="00F41E74">
        <w:t>, but its</w:t>
      </w:r>
      <w:r>
        <w:t xml:space="preserve"> management of the pandemics</w:t>
      </w:r>
      <w:r w:rsidR="00F41E74">
        <w:t xml:space="preserve"> is worse</w:t>
      </w:r>
      <w:r>
        <w:t xml:space="preserve">. </w:t>
      </w:r>
    </w:p>
    <w:p w:rsidR="005C6646" w:rsidRDefault="005C6646" w:rsidP="005C6646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 xml:space="preserve">Brazil and Argentina have experienced sharp declines in GDP growth, which reflected in lower </w:t>
      </w:r>
      <w:r w:rsidR="00F41E74">
        <w:t xml:space="preserve">mutual </w:t>
      </w:r>
      <w:r>
        <w:t>trade.</w:t>
      </w:r>
    </w:p>
    <w:p w:rsidR="005C6646" w:rsidRDefault="005C6646" w:rsidP="005C6646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 xml:space="preserve">He is </w:t>
      </w:r>
      <w:r w:rsidR="0011727F">
        <w:t xml:space="preserve">in favour </w:t>
      </w:r>
      <w:r>
        <w:t xml:space="preserve">of MERCOSUR and </w:t>
      </w:r>
      <w:r w:rsidR="0011727F">
        <w:t xml:space="preserve">the political and economic </w:t>
      </w:r>
      <w:r>
        <w:t>platform</w:t>
      </w:r>
      <w:r w:rsidR="0011727F">
        <w:t xml:space="preserve"> it provides</w:t>
      </w:r>
      <w:r>
        <w:t>. There are many things to improve</w:t>
      </w:r>
      <w:r w:rsidR="00795CE1">
        <w:t xml:space="preserve"> and there should be progress</w:t>
      </w:r>
      <w:r>
        <w:t xml:space="preserve"> </w:t>
      </w:r>
      <w:r w:rsidR="0011727F">
        <w:t xml:space="preserve">with </w:t>
      </w:r>
      <w:r>
        <w:t xml:space="preserve">the agreement with the EU. </w:t>
      </w:r>
    </w:p>
    <w:p w:rsidR="00795CE1" w:rsidRDefault="00795CE1" w:rsidP="00921B30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>However,</w:t>
      </w:r>
      <w:r w:rsidR="00921B30">
        <w:t xml:space="preserve"> he is not in favour of accelerating negotiations with </w:t>
      </w:r>
      <w:r>
        <w:t xml:space="preserve">South </w:t>
      </w:r>
      <w:r w:rsidR="00921B30">
        <w:t>Korea</w:t>
      </w:r>
      <w:r>
        <w:t>, in view of the existing symmetries</w:t>
      </w:r>
      <w:r w:rsidR="00921B30">
        <w:t xml:space="preserve">. </w:t>
      </w:r>
    </w:p>
    <w:p w:rsidR="00921B30" w:rsidRDefault="00795CE1" w:rsidP="00921B30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>In this time of uncertainty about the future of</w:t>
      </w:r>
      <w:r w:rsidR="00921B30">
        <w:t xml:space="preserve"> the WTO</w:t>
      </w:r>
      <w:r>
        <w:t>, h</w:t>
      </w:r>
      <w:r w:rsidR="00921B30">
        <w:t>e expects that Argentina’s short</w:t>
      </w:r>
      <w:r w:rsidR="001D28F3">
        <w:t>-</w:t>
      </w:r>
      <w:r w:rsidR="00921B30">
        <w:t xml:space="preserve">term tense relationship with Brasil does not affect </w:t>
      </w:r>
      <w:r>
        <w:t>its</w:t>
      </w:r>
      <w:r w:rsidR="00921B30">
        <w:t xml:space="preserve"> long</w:t>
      </w:r>
      <w:r w:rsidR="001D28F3">
        <w:t>-</w:t>
      </w:r>
      <w:r w:rsidR="00921B30">
        <w:t>term vision.</w:t>
      </w:r>
    </w:p>
    <w:p w:rsidR="00921B30" w:rsidRDefault="00921B30" w:rsidP="00921B30">
      <w:pPr>
        <w:jc w:val="both"/>
      </w:pPr>
    </w:p>
    <w:p w:rsidR="00921B30" w:rsidRPr="00BC7A06" w:rsidRDefault="00921B30" w:rsidP="00826B35">
      <w:pPr>
        <w:shd w:val="clear" w:color="auto" w:fill="FFFFFF"/>
        <w:autoSpaceDE w:val="0"/>
        <w:autoSpaceDN w:val="0"/>
        <w:spacing w:after="200" w:line="276" w:lineRule="auto"/>
        <w:jc w:val="both"/>
        <w:rPr>
          <w:i/>
          <w:iCs/>
        </w:rPr>
      </w:pPr>
    </w:p>
    <w:sectPr w:rsidR="00921B30" w:rsidRPr="00BC7A06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B4" w:rsidRDefault="007223B4" w:rsidP="00D55A10">
      <w:r>
        <w:separator/>
      </w:r>
    </w:p>
  </w:endnote>
  <w:endnote w:type="continuationSeparator" w:id="0">
    <w:p w:rsidR="007223B4" w:rsidRDefault="007223B4" w:rsidP="00D5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379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EB8" w:rsidRDefault="00450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EB8" w:rsidRDefault="00450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B4" w:rsidRDefault="007223B4" w:rsidP="00D55A10">
      <w:r>
        <w:separator/>
      </w:r>
    </w:p>
  </w:footnote>
  <w:footnote w:type="continuationSeparator" w:id="0">
    <w:p w:rsidR="007223B4" w:rsidRDefault="007223B4" w:rsidP="00D5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366"/>
    <w:multiLevelType w:val="hybridMultilevel"/>
    <w:tmpl w:val="D434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275"/>
    <w:multiLevelType w:val="hybridMultilevel"/>
    <w:tmpl w:val="98E2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C68"/>
    <w:multiLevelType w:val="hybridMultilevel"/>
    <w:tmpl w:val="78D2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1ECF"/>
    <w:multiLevelType w:val="hybridMultilevel"/>
    <w:tmpl w:val="5B068B38"/>
    <w:lvl w:ilvl="0" w:tplc="FBE8B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4318"/>
    <w:multiLevelType w:val="hybridMultilevel"/>
    <w:tmpl w:val="C3B22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67611"/>
    <w:multiLevelType w:val="hybridMultilevel"/>
    <w:tmpl w:val="D80E3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35A2"/>
    <w:multiLevelType w:val="hybridMultilevel"/>
    <w:tmpl w:val="5E4E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206A"/>
    <w:multiLevelType w:val="hybridMultilevel"/>
    <w:tmpl w:val="757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43B"/>
    <w:multiLevelType w:val="hybridMultilevel"/>
    <w:tmpl w:val="8CE2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21BA"/>
    <w:multiLevelType w:val="hybridMultilevel"/>
    <w:tmpl w:val="0E32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7AAA"/>
    <w:multiLevelType w:val="hybridMultilevel"/>
    <w:tmpl w:val="D80E3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512C4"/>
    <w:multiLevelType w:val="hybridMultilevel"/>
    <w:tmpl w:val="5016F0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ED0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D3E5E"/>
    <w:multiLevelType w:val="hybridMultilevel"/>
    <w:tmpl w:val="AE1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5380B"/>
    <w:rsid w:val="00001B9F"/>
    <w:rsid w:val="00007318"/>
    <w:rsid w:val="0001257D"/>
    <w:rsid w:val="000148B8"/>
    <w:rsid w:val="000162ED"/>
    <w:rsid w:val="0006288B"/>
    <w:rsid w:val="0006480E"/>
    <w:rsid w:val="0008547A"/>
    <w:rsid w:val="000951F6"/>
    <w:rsid w:val="00096077"/>
    <w:rsid w:val="000969C7"/>
    <w:rsid w:val="000C3C29"/>
    <w:rsid w:val="000E6FAF"/>
    <w:rsid w:val="00110276"/>
    <w:rsid w:val="0011727F"/>
    <w:rsid w:val="00151443"/>
    <w:rsid w:val="00152059"/>
    <w:rsid w:val="00162810"/>
    <w:rsid w:val="00171117"/>
    <w:rsid w:val="00177216"/>
    <w:rsid w:val="001815EE"/>
    <w:rsid w:val="0019417E"/>
    <w:rsid w:val="001956A2"/>
    <w:rsid w:val="001B2FBF"/>
    <w:rsid w:val="001B5622"/>
    <w:rsid w:val="001B6238"/>
    <w:rsid w:val="001B6C7E"/>
    <w:rsid w:val="001B7F5B"/>
    <w:rsid w:val="001C6A37"/>
    <w:rsid w:val="001C7861"/>
    <w:rsid w:val="001D28F3"/>
    <w:rsid w:val="001D2BBC"/>
    <w:rsid w:val="001D5646"/>
    <w:rsid w:val="001E43F8"/>
    <w:rsid w:val="001F4F5A"/>
    <w:rsid w:val="00205749"/>
    <w:rsid w:val="00212C3E"/>
    <w:rsid w:val="0021715C"/>
    <w:rsid w:val="00247A8F"/>
    <w:rsid w:val="00247D65"/>
    <w:rsid w:val="00261272"/>
    <w:rsid w:val="00276E74"/>
    <w:rsid w:val="00282535"/>
    <w:rsid w:val="0029061C"/>
    <w:rsid w:val="002A3557"/>
    <w:rsid w:val="002F0706"/>
    <w:rsid w:val="002F11B4"/>
    <w:rsid w:val="002F2BAA"/>
    <w:rsid w:val="002F3000"/>
    <w:rsid w:val="00310BCF"/>
    <w:rsid w:val="00322D36"/>
    <w:rsid w:val="00337175"/>
    <w:rsid w:val="0035380B"/>
    <w:rsid w:val="003827CA"/>
    <w:rsid w:val="00391FEC"/>
    <w:rsid w:val="003B4252"/>
    <w:rsid w:val="003C224E"/>
    <w:rsid w:val="003D104D"/>
    <w:rsid w:val="003D754B"/>
    <w:rsid w:val="003D789F"/>
    <w:rsid w:val="003F0B05"/>
    <w:rsid w:val="004040E4"/>
    <w:rsid w:val="00405261"/>
    <w:rsid w:val="00412B96"/>
    <w:rsid w:val="00434A27"/>
    <w:rsid w:val="00443365"/>
    <w:rsid w:val="00446DFF"/>
    <w:rsid w:val="00450EB8"/>
    <w:rsid w:val="00473940"/>
    <w:rsid w:val="004843EC"/>
    <w:rsid w:val="00487A07"/>
    <w:rsid w:val="004A4952"/>
    <w:rsid w:val="004A53D0"/>
    <w:rsid w:val="004B3065"/>
    <w:rsid w:val="004D0BC9"/>
    <w:rsid w:val="004D4ED6"/>
    <w:rsid w:val="004E5925"/>
    <w:rsid w:val="004E6C6E"/>
    <w:rsid w:val="004F0086"/>
    <w:rsid w:val="004F782B"/>
    <w:rsid w:val="00523A70"/>
    <w:rsid w:val="005303D7"/>
    <w:rsid w:val="00544A7E"/>
    <w:rsid w:val="00581D42"/>
    <w:rsid w:val="005B70B4"/>
    <w:rsid w:val="005C1A01"/>
    <w:rsid w:val="005C6646"/>
    <w:rsid w:val="005D1FAF"/>
    <w:rsid w:val="00600862"/>
    <w:rsid w:val="00623920"/>
    <w:rsid w:val="00630CBA"/>
    <w:rsid w:val="0065536C"/>
    <w:rsid w:val="006573AB"/>
    <w:rsid w:val="0066596F"/>
    <w:rsid w:val="00670012"/>
    <w:rsid w:val="00670CCA"/>
    <w:rsid w:val="006A39D6"/>
    <w:rsid w:val="006A4D5B"/>
    <w:rsid w:val="006C24F4"/>
    <w:rsid w:val="006D2292"/>
    <w:rsid w:val="006D2987"/>
    <w:rsid w:val="006D4492"/>
    <w:rsid w:val="006D69F1"/>
    <w:rsid w:val="007153FA"/>
    <w:rsid w:val="007156F3"/>
    <w:rsid w:val="00717010"/>
    <w:rsid w:val="007223B4"/>
    <w:rsid w:val="00736AE5"/>
    <w:rsid w:val="0073735B"/>
    <w:rsid w:val="0074248C"/>
    <w:rsid w:val="0075588B"/>
    <w:rsid w:val="00757C12"/>
    <w:rsid w:val="00772856"/>
    <w:rsid w:val="00776579"/>
    <w:rsid w:val="0078465B"/>
    <w:rsid w:val="00795CE1"/>
    <w:rsid w:val="007D60B8"/>
    <w:rsid w:val="008054F7"/>
    <w:rsid w:val="0081080E"/>
    <w:rsid w:val="008229B6"/>
    <w:rsid w:val="00826B35"/>
    <w:rsid w:val="00846AA2"/>
    <w:rsid w:val="00854122"/>
    <w:rsid w:val="00880672"/>
    <w:rsid w:val="00881551"/>
    <w:rsid w:val="00886537"/>
    <w:rsid w:val="00894839"/>
    <w:rsid w:val="008A026C"/>
    <w:rsid w:val="008B69CB"/>
    <w:rsid w:val="008C5E19"/>
    <w:rsid w:val="008D1837"/>
    <w:rsid w:val="008E18EF"/>
    <w:rsid w:val="008F1492"/>
    <w:rsid w:val="008F3D17"/>
    <w:rsid w:val="00907798"/>
    <w:rsid w:val="009117F4"/>
    <w:rsid w:val="00921B30"/>
    <w:rsid w:val="009504D7"/>
    <w:rsid w:val="00976557"/>
    <w:rsid w:val="00977175"/>
    <w:rsid w:val="009B2431"/>
    <w:rsid w:val="009B615A"/>
    <w:rsid w:val="009C7FA4"/>
    <w:rsid w:val="009E0EF9"/>
    <w:rsid w:val="009E6FFC"/>
    <w:rsid w:val="009F0AD0"/>
    <w:rsid w:val="009F70E5"/>
    <w:rsid w:val="00A02D36"/>
    <w:rsid w:val="00A03394"/>
    <w:rsid w:val="00A043C8"/>
    <w:rsid w:val="00A11900"/>
    <w:rsid w:val="00A172B8"/>
    <w:rsid w:val="00A20505"/>
    <w:rsid w:val="00A44445"/>
    <w:rsid w:val="00A57A54"/>
    <w:rsid w:val="00A90011"/>
    <w:rsid w:val="00A90977"/>
    <w:rsid w:val="00A91318"/>
    <w:rsid w:val="00A92A7B"/>
    <w:rsid w:val="00AA31D5"/>
    <w:rsid w:val="00AB77FA"/>
    <w:rsid w:val="00AC104E"/>
    <w:rsid w:val="00AC1F87"/>
    <w:rsid w:val="00AC36E5"/>
    <w:rsid w:val="00AC4BC5"/>
    <w:rsid w:val="00AE1A5C"/>
    <w:rsid w:val="00AE68D6"/>
    <w:rsid w:val="00AF75F4"/>
    <w:rsid w:val="00B01A12"/>
    <w:rsid w:val="00B13CC3"/>
    <w:rsid w:val="00B15512"/>
    <w:rsid w:val="00B17C11"/>
    <w:rsid w:val="00B60601"/>
    <w:rsid w:val="00B634C9"/>
    <w:rsid w:val="00B643C7"/>
    <w:rsid w:val="00B8457D"/>
    <w:rsid w:val="00B85621"/>
    <w:rsid w:val="00BB404B"/>
    <w:rsid w:val="00BC28C8"/>
    <w:rsid w:val="00BC4F31"/>
    <w:rsid w:val="00BC556D"/>
    <w:rsid w:val="00BC7383"/>
    <w:rsid w:val="00BC7A06"/>
    <w:rsid w:val="00BD326F"/>
    <w:rsid w:val="00BE3581"/>
    <w:rsid w:val="00BE4374"/>
    <w:rsid w:val="00C330CE"/>
    <w:rsid w:val="00C34280"/>
    <w:rsid w:val="00C34765"/>
    <w:rsid w:val="00C35F45"/>
    <w:rsid w:val="00C67EFB"/>
    <w:rsid w:val="00C708FF"/>
    <w:rsid w:val="00C71EF0"/>
    <w:rsid w:val="00C725D8"/>
    <w:rsid w:val="00CA39C4"/>
    <w:rsid w:val="00CB00C6"/>
    <w:rsid w:val="00CB5FCA"/>
    <w:rsid w:val="00CE2609"/>
    <w:rsid w:val="00CF22DB"/>
    <w:rsid w:val="00CF6676"/>
    <w:rsid w:val="00D14594"/>
    <w:rsid w:val="00D23832"/>
    <w:rsid w:val="00D23D2A"/>
    <w:rsid w:val="00D24E8B"/>
    <w:rsid w:val="00D40E7E"/>
    <w:rsid w:val="00D4420F"/>
    <w:rsid w:val="00D505C5"/>
    <w:rsid w:val="00D51324"/>
    <w:rsid w:val="00D55A10"/>
    <w:rsid w:val="00D55B97"/>
    <w:rsid w:val="00D716CF"/>
    <w:rsid w:val="00D75AEF"/>
    <w:rsid w:val="00D9137E"/>
    <w:rsid w:val="00D94608"/>
    <w:rsid w:val="00D95922"/>
    <w:rsid w:val="00DB19A2"/>
    <w:rsid w:val="00DB3606"/>
    <w:rsid w:val="00DB6EB0"/>
    <w:rsid w:val="00DC2C6C"/>
    <w:rsid w:val="00DD2044"/>
    <w:rsid w:val="00DD2357"/>
    <w:rsid w:val="00DD6B55"/>
    <w:rsid w:val="00DE7796"/>
    <w:rsid w:val="00E1016F"/>
    <w:rsid w:val="00E137BB"/>
    <w:rsid w:val="00E20723"/>
    <w:rsid w:val="00E261C0"/>
    <w:rsid w:val="00E71C69"/>
    <w:rsid w:val="00E905D9"/>
    <w:rsid w:val="00EB07E5"/>
    <w:rsid w:val="00EB1EAA"/>
    <w:rsid w:val="00EB2A6E"/>
    <w:rsid w:val="00EC7C92"/>
    <w:rsid w:val="00EF1234"/>
    <w:rsid w:val="00F04EC2"/>
    <w:rsid w:val="00F146A9"/>
    <w:rsid w:val="00F27E14"/>
    <w:rsid w:val="00F35069"/>
    <w:rsid w:val="00F35DE6"/>
    <w:rsid w:val="00F413EF"/>
    <w:rsid w:val="00F41E74"/>
    <w:rsid w:val="00F67DC7"/>
    <w:rsid w:val="00F71168"/>
    <w:rsid w:val="00F82D62"/>
    <w:rsid w:val="00F91AF4"/>
    <w:rsid w:val="00F94254"/>
    <w:rsid w:val="00FA22C2"/>
    <w:rsid w:val="00FA6B59"/>
    <w:rsid w:val="00FC134C"/>
    <w:rsid w:val="00FC2B99"/>
    <w:rsid w:val="00FC662C"/>
    <w:rsid w:val="00FD06B5"/>
    <w:rsid w:val="00FD536B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E3FE-C0FA-4F7E-9FEE-99ECFDA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A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A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A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5A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78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B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BC9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711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11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116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449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717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7175"/>
    <w:rPr>
      <w:rFonts w:ascii="Consolas" w:eastAsia="Calibri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A9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7BAB-463A-44FF-A945-F2F41DC2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WEBERNDORFER Jorg (EEAS-BUENOS AIRES)</dc:creator>
  <cp:lastModifiedBy>Carlos Maria Rodriguez</cp:lastModifiedBy>
  <cp:revision>2</cp:revision>
  <cp:lastPrinted>2019-11-08T18:45:00Z</cp:lastPrinted>
  <dcterms:created xsi:type="dcterms:W3CDTF">2020-06-22T10:54:00Z</dcterms:created>
  <dcterms:modified xsi:type="dcterms:W3CDTF">2020-06-22T10:54:00Z</dcterms:modified>
</cp:coreProperties>
</file>