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
        <w:gridCol w:w="2489"/>
        <w:gridCol w:w="3261"/>
        <w:gridCol w:w="7938"/>
      </w:tblGrid>
      <w:tr w:rsidR="00613C3A" w:rsidRPr="00613C3A" w:rsidTr="00613C3A">
        <w:trPr>
          <w:trHeight w:val="240"/>
        </w:trPr>
        <w:tc>
          <w:tcPr>
            <w:tcW w:w="361" w:type="dxa"/>
            <w:shd w:val="clear" w:color="auto" w:fill="EEECE1" w:themeFill="background2"/>
            <w:noWrap/>
            <w:hideMark/>
          </w:tcPr>
          <w:p w:rsidR="00613C3A" w:rsidRPr="00613C3A" w:rsidRDefault="00613C3A" w:rsidP="00613C3A">
            <w:pPr>
              <w:jc w:val="center"/>
              <w:rPr>
                <w:rFonts w:eastAsia="Times New Roman" w:cs="Times New Roman"/>
                <w:b/>
                <w:bCs/>
                <w:color w:val="000000"/>
                <w:sz w:val="18"/>
                <w:szCs w:val="18"/>
                <w:lang w:eastAsia="zh-CN"/>
              </w:rPr>
            </w:pPr>
            <w:bookmarkStart w:id="0" w:name="_GoBack"/>
            <w:bookmarkEnd w:id="0"/>
            <w:r w:rsidRPr="00613C3A">
              <w:rPr>
                <w:rFonts w:eastAsia="Times New Roman" w:cs="Times New Roman"/>
                <w:b/>
                <w:bCs/>
                <w:color w:val="000000"/>
                <w:sz w:val="18"/>
                <w:szCs w:val="18"/>
                <w:lang w:eastAsia="zh-CN"/>
              </w:rPr>
              <w:t>Lp.</w:t>
            </w:r>
          </w:p>
        </w:tc>
        <w:tc>
          <w:tcPr>
            <w:tcW w:w="2489" w:type="dxa"/>
            <w:shd w:val="clear" w:color="auto" w:fill="EEECE1" w:themeFill="background2"/>
            <w:noWrap/>
            <w:hideMark/>
          </w:tcPr>
          <w:p w:rsidR="00613C3A" w:rsidRPr="00613C3A" w:rsidRDefault="00613C3A" w:rsidP="00613C3A">
            <w:pPr>
              <w:jc w:val="center"/>
              <w:rPr>
                <w:rFonts w:eastAsia="Times New Roman" w:cs="Times New Roman"/>
                <w:b/>
                <w:bCs/>
                <w:color w:val="000000"/>
                <w:sz w:val="18"/>
                <w:szCs w:val="18"/>
                <w:lang w:eastAsia="zh-CN"/>
              </w:rPr>
            </w:pPr>
            <w:r>
              <w:rPr>
                <w:rFonts w:eastAsia="Times New Roman" w:cs="Times New Roman"/>
                <w:b/>
                <w:bCs/>
                <w:color w:val="000000"/>
                <w:sz w:val="18"/>
                <w:szCs w:val="18"/>
                <w:lang w:eastAsia="zh-CN"/>
              </w:rPr>
              <w:t>Company name</w:t>
            </w:r>
          </w:p>
        </w:tc>
        <w:tc>
          <w:tcPr>
            <w:tcW w:w="3261" w:type="dxa"/>
            <w:shd w:val="clear" w:color="auto" w:fill="EEECE1" w:themeFill="background2"/>
            <w:noWrap/>
            <w:hideMark/>
          </w:tcPr>
          <w:p w:rsidR="00613C3A" w:rsidRPr="00613C3A" w:rsidRDefault="00613C3A" w:rsidP="00613C3A">
            <w:pPr>
              <w:jc w:val="center"/>
              <w:rPr>
                <w:rFonts w:eastAsia="Times New Roman" w:cs="Times New Roman"/>
                <w:b/>
                <w:bCs/>
                <w:color w:val="000000"/>
                <w:sz w:val="18"/>
                <w:szCs w:val="18"/>
                <w:lang w:eastAsia="zh-CN"/>
              </w:rPr>
            </w:pPr>
            <w:r>
              <w:rPr>
                <w:rFonts w:eastAsia="Times New Roman" w:cs="Times New Roman"/>
                <w:b/>
                <w:bCs/>
                <w:color w:val="000000"/>
                <w:sz w:val="18"/>
                <w:szCs w:val="18"/>
                <w:lang w:eastAsia="zh-CN"/>
              </w:rPr>
              <w:t>Level of representation</w:t>
            </w:r>
          </w:p>
        </w:tc>
        <w:tc>
          <w:tcPr>
            <w:tcW w:w="7938" w:type="dxa"/>
            <w:shd w:val="clear" w:color="auto" w:fill="EEECE1" w:themeFill="background2"/>
            <w:noWrap/>
            <w:hideMark/>
          </w:tcPr>
          <w:p w:rsidR="00613C3A" w:rsidRPr="00613C3A" w:rsidRDefault="00613C3A" w:rsidP="00613C3A">
            <w:pPr>
              <w:jc w:val="center"/>
              <w:rPr>
                <w:rFonts w:eastAsia="Times New Roman" w:cs="Times New Roman"/>
                <w:b/>
                <w:bCs/>
                <w:color w:val="000000"/>
                <w:sz w:val="18"/>
                <w:szCs w:val="18"/>
                <w:lang w:eastAsia="zh-CN"/>
              </w:rPr>
            </w:pPr>
            <w:r>
              <w:rPr>
                <w:rFonts w:eastAsia="Times New Roman" w:cs="Times New Roman"/>
                <w:b/>
                <w:bCs/>
                <w:color w:val="000000"/>
                <w:sz w:val="18"/>
                <w:szCs w:val="18"/>
                <w:lang w:eastAsia="zh-CN"/>
              </w:rPr>
              <w:t>Information about the company</w:t>
            </w:r>
          </w:p>
        </w:tc>
      </w:tr>
      <w:tr w:rsidR="00613C3A" w:rsidRPr="00613C3A" w:rsidTr="00613C3A">
        <w:trPr>
          <w:trHeight w:val="1576"/>
        </w:trPr>
        <w:tc>
          <w:tcPr>
            <w:tcW w:w="361" w:type="dxa"/>
            <w:shd w:val="clear" w:color="auto" w:fill="auto"/>
            <w:noWrap/>
            <w:hideMark/>
          </w:tcPr>
          <w:p w:rsidR="00613C3A" w:rsidRPr="00613C3A" w:rsidRDefault="00613C3A" w:rsidP="00613C3A">
            <w:pPr>
              <w:jc w:val="right"/>
              <w:rPr>
                <w:rFonts w:eastAsia="Times New Roman" w:cs="Times New Roman"/>
                <w:color w:val="000000"/>
                <w:sz w:val="18"/>
                <w:szCs w:val="18"/>
                <w:lang w:eastAsia="zh-CN"/>
              </w:rPr>
            </w:pPr>
            <w:r w:rsidRPr="00613C3A">
              <w:rPr>
                <w:rFonts w:eastAsia="Times New Roman" w:cs="Times New Roman"/>
                <w:color w:val="000000"/>
                <w:sz w:val="18"/>
                <w:szCs w:val="18"/>
                <w:lang w:eastAsia="zh-CN"/>
              </w:rPr>
              <w:t>1</w:t>
            </w:r>
          </w:p>
        </w:tc>
        <w:tc>
          <w:tcPr>
            <w:tcW w:w="2489"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sidRPr="00613C3A">
              <w:rPr>
                <w:rFonts w:eastAsia="Times New Roman" w:cs="Times New Roman"/>
                <w:color w:val="000000"/>
                <w:sz w:val="18"/>
                <w:szCs w:val="18"/>
                <w:lang w:eastAsia="zh-CN"/>
              </w:rPr>
              <w:t>P.P.H.U. AGATA Jacek Jagiełło</w:t>
            </w:r>
          </w:p>
        </w:tc>
        <w:tc>
          <w:tcPr>
            <w:tcW w:w="3261"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Pr>
                <w:rFonts w:eastAsia="Times New Roman" w:cs="Times New Roman"/>
                <w:color w:val="000000"/>
                <w:sz w:val="18"/>
                <w:szCs w:val="18"/>
                <w:lang w:eastAsia="zh-CN"/>
              </w:rPr>
              <w:t>Director</w:t>
            </w:r>
          </w:p>
        </w:tc>
        <w:tc>
          <w:tcPr>
            <w:tcW w:w="7938" w:type="dxa"/>
            <w:shd w:val="clear" w:color="auto" w:fill="auto"/>
            <w:hideMark/>
          </w:tcPr>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AGATA Company is the only one company operating on fly ash tailings at, two largest coal power plants, both in EU and Poland. Providing service on over 6 000 000 m2 yearly. Thanks to developed technology called Celluguard with is micro-composite that have many advantages over existing past solutions. Agata Company became undisputed leader in fly ash, coal ash control on tailing ponds storing byproduct, from 35 % annua</w:t>
            </w:r>
            <w:r>
              <w:rPr>
                <w:rFonts w:eastAsia="Times New Roman" w:cs="Times New Roman"/>
                <w:color w:val="000000"/>
                <w:sz w:val="18"/>
                <w:szCs w:val="18"/>
                <w:lang w:val="en-US" w:eastAsia="zh-CN"/>
              </w:rPr>
              <w:t xml:space="preserve">l energy production in Poland. </w:t>
            </w:r>
          </w:p>
          <w:p w:rsidR="00613C3A" w:rsidRP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Therefore Agata company plans to spread worldwide, this unique technology by offering license - know how, to Power plants , Mining companies etc. located outside Polish borders.</w:t>
            </w:r>
          </w:p>
        </w:tc>
      </w:tr>
      <w:tr w:rsidR="00613C3A" w:rsidRPr="00613C3A" w:rsidTr="00613C3A">
        <w:trPr>
          <w:trHeight w:val="2255"/>
        </w:trPr>
        <w:tc>
          <w:tcPr>
            <w:tcW w:w="361" w:type="dxa"/>
            <w:shd w:val="clear" w:color="auto" w:fill="auto"/>
            <w:noWrap/>
            <w:hideMark/>
          </w:tcPr>
          <w:p w:rsidR="00613C3A" w:rsidRPr="00613C3A" w:rsidRDefault="00613C3A" w:rsidP="00613C3A">
            <w:pPr>
              <w:jc w:val="right"/>
              <w:rPr>
                <w:rFonts w:eastAsia="Times New Roman" w:cs="Times New Roman"/>
                <w:color w:val="000000"/>
                <w:sz w:val="18"/>
                <w:szCs w:val="18"/>
                <w:lang w:eastAsia="zh-CN"/>
              </w:rPr>
            </w:pPr>
            <w:r w:rsidRPr="00613C3A">
              <w:rPr>
                <w:rFonts w:eastAsia="Times New Roman" w:cs="Times New Roman"/>
                <w:color w:val="000000"/>
                <w:sz w:val="18"/>
                <w:szCs w:val="18"/>
                <w:lang w:eastAsia="zh-CN"/>
              </w:rPr>
              <w:t>2</w:t>
            </w:r>
          </w:p>
        </w:tc>
        <w:tc>
          <w:tcPr>
            <w:tcW w:w="2489"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sidRPr="00613C3A">
              <w:rPr>
                <w:rFonts w:eastAsia="Times New Roman" w:cs="Times New Roman"/>
                <w:color w:val="000000"/>
                <w:sz w:val="18"/>
                <w:szCs w:val="18"/>
                <w:lang w:eastAsia="zh-CN"/>
              </w:rPr>
              <w:t>Bioelektra Group S.A.</w:t>
            </w:r>
          </w:p>
        </w:tc>
        <w:tc>
          <w:tcPr>
            <w:tcW w:w="3261"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Pr>
                <w:rFonts w:eastAsia="Times New Roman" w:cs="Times New Roman"/>
                <w:color w:val="000000"/>
                <w:sz w:val="18"/>
                <w:szCs w:val="18"/>
                <w:lang w:eastAsia="zh-CN"/>
              </w:rPr>
              <w:t>Vice-chairman</w:t>
            </w:r>
            <w:r w:rsidRPr="00613C3A">
              <w:rPr>
                <w:rFonts w:eastAsia="Times New Roman" w:cs="Times New Roman"/>
                <w:color w:val="000000"/>
                <w:sz w:val="18"/>
                <w:szCs w:val="18"/>
                <w:lang w:eastAsia="zh-CN"/>
              </w:rPr>
              <w:t xml:space="preserve"> </w:t>
            </w:r>
          </w:p>
        </w:tc>
        <w:tc>
          <w:tcPr>
            <w:tcW w:w="7938" w:type="dxa"/>
            <w:shd w:val="clear" w:color="auto" w:fill="auto"/>
            <w:hideMark/>
          </w:tcPr>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 xml:space="preserve">Bioelektra Group is a Polish company investing in municipal waste management and owner of RotoSTERIL technology: an own-made process designed to treat and effectively recover municipal waste. </w:t>
            </w:r>
            <w:r w:rsidRPr="00613C3A">
              <w:rPr>
                <w:rFonts w:eastAsia="Times New Roman" w:cs="Times New Roman"/>
                <w:color w:val="000000"/>
                <w:sz w:val="18"/>
                <w:szCs w:val="18"/>
                <w:lang w:val="en-US" w:eastAsia="zh-CN"/>
              </w:rPr>
              <w:br/>
              <w:t>Thanks to RotoSTERIL, municipal waste becomes a source of raw materials (glass, metals, plastics), biomass and fuel. Technology works well for mixed municipal waste (free of risks resulting from ineffective separate collection system), sterilizes waste, keeps it odorless and helps to protect the local environment. Nearly all the waste treated with this technology is recovered and recycled, leaving only ca. 4%</w:t>
            </w:r>
            <w:r>
              <w:rPr>
                <w:rFonts w:eastAsia="Times New Roman" w:cs="Times New Roman"/>
                <w:color w:val="000000"/>
                <w:sz w:val="18"/>
                <w:szCs w:val="18"/>
                <w:lang w:val="en-US" w:eastAsia="zh-CN"/>
              </w:rPr>
              <w:t xml:space="preserve"> of leftovers to be landfilled.</w:t>
            </w:r>
          </w:p>
          <w:p w:rsidR="00613C3A" w:rsidRP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Bioelektra Group is willing to cooperate with local authorities, enterprises and organizations engaged in waste management and seeking more effective solutions, as well as institutes and research bodies, interested in further technology development.</w:t>
            </w:r>
          </w:p>
        </w:tc>
      </w:tr>
      <w:tr w:rsidR="00613C3A" w:rsidRPr="00613C3A" w:rsidTr="00613C3A">
        <w:trPr>
          <w:trHeight w:val="1843"/>
        </w:trPr>
        <w:tc>
          <w:tcPr>
            <w:tcW w:w="361" w:type="dxa"/>
            <w:shd w:val="clear" w:color="auto" w:fill="auto"/>
            <w:noWrap/>
            <w:hideMark/>
          </w:tcPr>
          <w:p w:rsidR="00613C3A" w:rsidRPr="00613C3A" w:rsidRDefault="00613C3A" w:rsidP="00613C3A">
            <w:pPr>
              <w:jc w:val="right"/>
              <w:rPr>
                <w:rFonts w:eastAsia="Times New Roman" w:cs="Times New Roman"/>
                <w:color w:val="000000"/>
                <w:sz w:val="18"/>
                <w:szCs w:val="18"/>
                <w:lang w:eastAsia="zh-CN"/>
              </w:rPr>
            </w:pPr>
            <w:r w:rsidRPr="00613C3A">
              <w:rPr>
                <w:rFonts w:eastAsia="Times New Roman" w:cs="Times New Roman"/>
                <w:color w:val="000000"/>
                <w:sz w:val="18"/>
                <w:szCs w:val="18"/>
                <w:lang w:eastAsia="zh-CN"/>
              </w:rPr>
              <w:t>3</w:t>
            </w:r>
          </w:p>
        </w:tc>
        <w:tc>
          <w:tcPr>
            <w:tcW w:w="2489"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sidRPr="00613C3A">
              <w:rPr>
                <w:rFonts w:eastAsia="Times New Roman" w:cs="Times New Roman"/>
                <w:color w:val="000000"/>
                <w:sz w:val="18"/>
                <w:szCs w:val="18"/>
                <w:lang w:eastAsia="zh-CN"/>
              </w:rPr>
              <w:t>Izodom</w:t>
            </w:r>
          </w:p>
        </w:tc>
        <w:tc>
          <w:tcPr>
            <w:tcW w:w="3261"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Pr>
                <w:rFonts w:eastAsia="Times New Roman" w:cs="Times New Roman"/>
                <w:color w:val="000000"/>
                <w:sz w:val="18"/>
                <w:szCs w:val="18"/>
                <w:lang w:eastAsia="zh-CN"/>
              </w:rPr>
              <w:t>Vice-chairman</w:t>
            </w:r>
          </w:p>
        </w:tc>
        <w:tc>
          <w:tcPr>
            <w:tcW w:w="7938" w:type="dxa"/>
            <w:shd w:val="clear" w:color="auto" w:fill="auto"/>
            <w:hideMark/>
          </w:tcPr>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Izodom 2000 Polska has 27 years of experience in construction. We are a manufacturer of innovative, energy saving, fast-to-build building blocks. Our expertise includes material delivery to over 19.000 building sites Worldwide, 35countries, 4continents. The biggest projects were 2000houses in United Arab Emirates in 2009, 500 energy saving houses funded by Government of France, of King of Morocco 10.000m2 habita</w:t>
            </w:r>
            <w:r>
              <w:rPr>
                <w:rFonts w:eastAsia="Times New Roman" w:cs="Times New Roman"/>
                <w:color w:val="000000"/>
                <w:sz w:val="18"/>
                <w:szCs w:val="18"/>
                <w:lang w:val="en-US" w:eastAsia="zh-CN"/>
              </w:rPr>
              <w:t>t area, 9000 houses in Germany.</w:t>
            </w:r>
          </w:p>
          <w:p w:rsidR="00613C3A" w:rsidRP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We offer a complete system for building low-energy and passive houses - from foundations, through walls, all the way to the roof. Extensive product range makes it possible to implement even the boldest architectural concepts.</w:t>
            </w:r>
          </w:p>
        </w:tc>
      </w:tr>
      <w:tr w:rsidR="00613C3A" w:rsidRPr="00613C3A" w:rsidTr="00613C3A">
        <w:trPr>
          <w:trHeight w:val="1705"/>
        </w:trPr>
        <w:tc>
          <w:tcPr>
            <w:tcW w:w="361" w:type="dxa"/>
            <w:shd w:val="clear" w:color="auto" w:fill="auto"/>
            <w:noWrap/>
            <w:hideMark/>
          </w:tcPr>
          <w:p w:rsidR="00613C3A" w:rsidRPr="00613C3A" w:rsidRDefault="00613C3A" w:rsidP="00613C3A">
            <w:pPr>
              <w:jc w:val="right"/>
              <w:rPr>
                <w:rFonts w:eastAsia="Times New Roman" w:cs="Times New Roman"/>
                <w:color w:val="000000"/>
                <w:sz w:val="18"/>
                <w:szCs w:val="18"/>
                <w:lang w:eastAsia="zh-CN"/>
              </w:rPr>
            </w:pPr>
            <w:r w:rsidRPr="00613C3A">
              <w:rPr>
                <w:rFonts w:eastAsia="Times New Roman" w:cs="Times New Roman"/>
                <w:color w:val="000000"/>
                <w:sz w:val="18"/>
                <w:szCs w:val="18"/>
                <w:lang w:eastAsia="zh-CN"/>
              </w:rPr>
              <w:t>4</w:t>
            </w:r>
          </w:p>
        </w:tc>
        <w:tc>
          <w:tcPr>
            <w:tcW w:w="2489"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sidRPr="00613C3A">
              <w:rPr>
                <w:rFonts w:eastAsia="Times New Roman" w:cs="Times New Roman"/>
                <w:color w:val="000000"/>
                <w:sz w:val="18"/>
                <w:szCs w:val="18"/>
                <w:lang w:eastAsia="zh-CN"/>
              </w:rPr>
              <w:t>ASKET</w:t>
            </w:r>
          </w:p>
        </w:tc>
        <w:tc>
          <w:tcPr>
            <w:tcW w:w="3261"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Pr>
                <w:rFonts w:eastAsia="Times New Roman" w:cs="Times New Roman"/>
                <w:color w:val="000000"/>
                <w:sz w:val="18"/>
                <w:szCs w:val="18"/>
                <w:lang w:eastAsia="zh-CN"/>
              </w:rPr>
              <w:t>Sales Director</w:t>
            </w:r>
          </w:p>
        </w:tc>
        <w:tc>
          <w:tcPr>
            <w:tcW w:w="7938" w:type="dxa"/>
            <w:shd w:val="clear" w:color="auto" w:fill="auto"/>
            <w:hideMark/>
          </w:tcPr>
          <w:p w:rsidR="00613C3A" w:rsidRPr="00613C3A" w:rsidRDefault="00613C3A" w:rsidP="00613C3A">
            <w:pPr>
              <w:jc w:val="both"/>
              <w:rPr>
                <w:rFonts w:eastAsia="Times New Roman" w:cs="Times New Roman"/>
                <w:color w:val="000000"/>
                <w:sz w:val="18"/>
                <w:szCs w:val="18"/>
                <w:lang w:eastAsia="zh-CN"/>
              </w:rPr>
            </w:pPr>
            <w:r w:rsidRPr="00613C3A">
              <w:rPr>
                <w:rFonts w:eastAsia="Times New Roman" w:cs="Times New Roman"/>
                <w:color w:val="000000"/>
                <w:sz w:val="18"/>
                <w:szCs w:val="18"/>
                <w:lang w:val="en-US" w:eastAsia="zh-CN"/>
              </w:rPr>
              <w:t xml:space="preserve">ASKET® is manufacturer of stationary and mobile machines for production of briquettes from local agro biomass (straw, hay, reed and other). The straw briquettes are 100% eco &amp; natural. They replace successfully coal or wood for heating, cooking or animal bedding. BIOMASSER® handles material of moisture content up to 30%, so there is no need to dry the material prior briquetting. BIOMASSER® allows for decentralized green energy production all over the world.BIOMASSER® - 1st in Europe innovative environmental technology verified in a frame of European Commission pilot project ETV (Environmental Technology Verification). </w:t>
            </w:r>
            <w:r w:rsidRPr="00613C3A">
              <w:rPr>
                <w:rFonts w:eastAsia="Times New Roman" w:cs="Times New Roman"/>
                <w:color w:val="000000"/>
                <w:sz w:val="18"/>
                <w:szCs w:val="18"/>
                <w:lang w:eastAsia="zh-CN"/>
              </w:rPr>
              <w:t xml:space="preserve">ASKET® machines work worldwide. </w:t>
            </w:r>
          </w:p>
        </w:tc>
      </w:tr>
    </w:tbl>
    <w:p w:rsidR="00613C3A" w:rsidRDefault="00613C3A">
      <w:r>
        <w:br w:type="page"/>
      </w: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
        <w:gridCol w:w="2489"/>
        <w:gridCol w:w="3261"/>
        <w:gridCol w:w="7938"/>
      </w:tblGrid>
      <w:tr w:rsidR="00613C3A" w:rsidRPr="00613C3A" w:rsidTr="00613C3A">
        <w:trPr>
          <w:trHeight w:val="269"/>
        </w:trPr>
        <w:tc>
          <w:tcPr>
            <w:tcW w:w="361" w:type="dxa"/>
            <w:shd w:val="clear" w:color="auto" w:fill="EEECE1" w:themeFill="background2"/>
            <w:noWrap/>
          </w:tcPr>
          <w:p w:rsidR="00613C3A" w:rsidRPr="00613C3A" w:rsidRDefault="00613C3A" w:rsidP="006459BA">
            <w:pPr>
              <w:jc w:val="center"/>
              <w:rPr>
                <w:rFonts w:eastAsia="Times New Roman" w:cs="Times New Roman"/>
                <w:b/>
                <w:bCs/>
                <w:color w:val="000000"/>
                <w:sz w:val="18"/>
                <w:szCs w:val="18"/>
                <w:lang w:eastAsia="zh-CN"/>
              </w:rPr>
            </w:pPr>
            <w:r w:rsidRPr="00613C3A">
              <w:rPr>
                <w:rFonts w:eastAsia="Times New Roman" w:cs="Times New Roman"/>
                <w:b/>
                <w:bCs/>
                <w:color w:val="000000"/>
                <w:sz w:val="18"/>
                <w:szCs w:val="18"/>
                <w:lang w:eastAsia="zh-CN"/>
              </w:rPr>
              <w:lastRenderedPageBreak/>
              <w:t>Lp.</w:t>
            </w:r>
          </w:p>
        </w:tc>
        <w:tc>
          <w:tcPr>
            <w:tcW w:w="2489" w:type="dxa"/>
            <w:shd w:val="clear" w:color="auto" w:fill="EEECE1" w:themeFill="background2"/>
            <w:noWrap/>
          </w:tcPr>
          <w:p w:rsidR="00613C3A" w:rsidRPr="00613C3A" w:rsidRDefault="00613C3A" w:rsidP="006459BA">
            <w:pPr>
              <w:jc w:val="center"/>
              <w:rPr>
                <w:rFonts w:eastAsia="Times New Roman" w:cs="Times New Roman"/>
                <w:b/>
                <w:bCs/>
                <w:color w:val="000000"/>
                <w:sz w:val="18"/>
                <w:szCs w:val="18"/>
                <w:lang w:eastAsia="zh-CN"/>
              </w:rPr>
            </w:pPr>
            <w:r>
              <w:rPr>
                <w:rFonts w:eastAsia="Times New Roman" w:cs="Times New Roman"/>
                <w:b/>
                <w:bCs/>
                <w:color w:val="000000"/>
                <w:sz w:val="18"/>
                <w:szCs w:val="18"/>
                <w:lang w:eastAsia="zh-CN"/>
              </w:rPr>
              <w:t>Company name</w:t>
            </w:r>
          </w:p>
        </w:tc>
        <w:tc>
          <w:tcPr>
            <w:tcW w:w="3261" w:type="dxa"/>
            <w:shd w:val="clear" w:color="auto" w:fill="EEECE1" w:themeFill="background2"/>
            <w:noWrap/>
          </w:tcPr>
          <w:p w:rsidR="00613C3A" w:rsidRPr="00613C3A" w:rsidRDefault="00613C3A" w:rsidP="006459BA">
            <w:pPr>
              <w:jc w:val="center"/>
              <w:rPr>
                <w:rFonts w:eastAsia="Times New Roman" w:cs="Times New Roman"/>
                <w:b/>
                <w:bCs/>
                <w:color w:val="000000"/>
                <w:sz w:val="18"/>
                <w:szCs w:val="18"/>
                <w:lang w:eastAsia="zh-CN"/>
              </w:rPr>
            </w:pPr>
            <w:r>
              <w:rPr>
                <w:rFonts w:eastAsia="Times New Roman" w:cs="Times New Roman"/>
                <w:b/>
                <w:bCs/>
                <w:color w:val="000000"/>
                <w:sz w:val="18"/>
                <w:szCs w:val="18"/>
                <w:lang w:eastAsia="zh-CN"/>
              </w:rPr>
              <w:t>Level of representation</w:t>
            </w:r>
          </w:p>
        </w:tc>
        <w:tc>
          <w:tcPr>
            <w:tcW w:w="7938" w:type="dxa"/>
            <w:shd w:val="clear" w:color="auto" w:fill="EEECE1" w:themeFill="background2"/>
          </w:tcPr>
          <w:p w:rsidR="00613C3A" w:rsidRPr="00613C3A" w:rsidRDefault="00613C3A" w:rsidP="006459BA">
            <w:pPr>
              <w:jc w:val="center"/>
              <w:rPr>
                <w:rFonts w:eastAsia="Times New Roman" w:cs="Times New Roman"/>
                <w:b/>
                <w:bCs/>
                <w:color w:val="000000"/>
                <w:sz w:val="18"/>
                <w:szCs w:val="18"/>
                <w:lang w:eastAsia="zh-CN"/>
              </w:rPr>
            </w:pPr>
            <w:r>
              <w:rPr>
                <w:rFonts w:eastAsia="Times New Roman" w:cs="Times New Roman"/>
                <w:b/>
                <w:bCs/>
                <w:color w:val="000000"/>
                <w:sz w:val="18"/>
                <w:szCs w:val="18"/>
                <w:lang w:eastAsia="zh-CN"/>
              </w:rPr>
              <w:t>Information about the company</w:t>
            </w:r>
          </w:p>
        </w:tc>
      </w:tr>
      <w:tr w:rsidR="00613C3A" w:rsidRPr="00613C3A" w:rsidTr="00613C3A">
        <w:trPr>
          <w:trHeight w:val="1545"/>
        </w:trPr>
        <w:tc>
          <w:tcPr>
            <w:tcW w:w="361" w:type="dxa"/>
            <w:shd w:val="clear" w:color="auto" w:fill="auto"/>
            <w:noWrap/>
            <w:hideMark/>
          </w:tcPr>
          <w:p w:rsidR="00613C3A" w:rsidRPr="00613C3A" w:rsidRDefault="00613C3A" w:rsidP="00613C3A">
            <w:pPr>
              <w:jc w:val="right"/>
              <w:rPr>
                <w:rFonts w:eastAsia="Times New Roman" w:cs="Times New Roman"/>
                <w:color w:val="000000"/>
                <w:sz w:val="18"/>
                <w:szCs w:val="18"/>
                <w:lang w:eastAsia="zh-CN"/>
              </w:rPr>
            </w:pPr>
            <w:r w:rsidRPr="00613C3A">
              <w:rPr>
                <w:rFonts w:eastAsia="Times New Roman" w:cs="Times New Roman"/>
                <w:color w:val="000000"/>
                <w:sz w:val="18"/>
                <w:szCs w:val="18"/>
                <w:lang w:eastAsia="zh-CN"/>
              </w:rPr>
              <w:t>5</w:t>
            </w:r>
          </w:p>
        </w:tc>
        <w:tc>
          <w:tcPr>
            <w:tcW w:w="2489"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sidRPr="00613C3A">
              <w:rPr>
                <w:rFonts w:eastAsia="Times New Roman" w:cs="Times New Roman"/>
                <w:color w:val="000000"/>
                <w:sz w:val="18"/>
                <w:szCs w:val="18"/>
                <w:lang w:eastAsia="zh-CN"/>
              </w:rPr>
              <w:t>Dagas LLC</w:t>
            </w:r>
          </w:p>
        </w:tc>
        <w:tc>
          <w:tcPr>
            <w:tcW w:w="3261" w:type="dxa"/>
            <w:shd w:val="clear" w:color="auto" w:fill="auto"/>
            <w:noWrap/>
            <w:hideMark/>
          </w:tcPr>
          <w:p w:rsidR="00613C3A" w:rsidRPr="00613C3A" w:rsidRDefault="00613C3A" w:rsidP="006459BA">
            <w:pPr>
              <w:rPr>
                <w:rFonts w:eastAsia="Times New Roman" w:cs="Times New Roman"/>
                <w:color w:val="000000"/>
                <w:sz w:val="18"/>
                <w:szCs w:val="18"/>
                <w:lang w:eastAsia="zh-CN"/>
              </w:rPr>
            </w:pPr>
            <w:r>
              <w:rPr>
                <w:rFonts w:eastAsia="Times New Roman" w:cs="Times New Roman"/>
                <w:color w:val="000000"/>
                <w:sz w:val="18"/>
                <w:szCs w:val="18"/>
                <w:lang w:eastAsia="zh-CN"/>
              </w:rPr>
              <w:t>Sales Director</w:t>
            </w:r>
          </w:p>
        </w:tc>
        <w:tc>
          <w:tcPr>
            <w:tcW w:w="7938" w:type="dxa"/>
            <w:shd w:val="clear" w:color="auto" w:fill="auto"/>
            <w:hideMark/>
          </w:tcPr>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 xml:space="preserve">Dagas - ReduxCO – combustion modifier for liquid, solid and gaseous fuels – CO emissions and fuel </w:t>
            </w:r>
            <w:r>
              <w:rPr>
                <w:rFonts w:eastAsia="Times New Roman" w:cs="Times New Roman"/>
                <w:color w:val="000000"/>
                <w:sz w:val="18"/>
                <w:szCs w:val="18"/>
                <w:lang w:val="en-US" w:eastAsia="zh-CN"/>
              </w:rPr>
              <w:t>consumption reduction</w:t>
            </w:r>
          </w:p>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ReduxCO is a chemical and can be applied to combustion process in diesel and gasoline engines, HFO and LFO used for power gen</w:t>
            </w:r>
            <w:r>
              <w:rPr>
                <w:rFonts w:eastAsia="Times New Roman" w:cs="Times New Roman"/>
                <w:color w:val="000000"/>
                <w:sz w:val="18"/>
                <w:szCs w:val="18"/>
                <w:lang w:val="en-US" w:eastAsia="zh-CN"/>
              </w:rPr>
              <w:t>eration and maritime transport.</w:t>
            </w:r>
          </w:p>
          <w:p w:rsidR="00613C3A" w:rsidRP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 xml:space="preserve">The chemical reduces CO emissions and fuel consumption, the product has been tested and used by power plants and cement factories in boilers and kilns using liquid, gas and solid fuels (coal, petcoke, biomass) in Europe and the Gulf. </w:t>
            </w:r>
          </w:p>
        </w:tc>
      </w:tr>
      <w:tr w:rsidR="00613C3A" w:rsidRPr="00613C3A" w:rsidTr="00613C3A">
        <w:trPr>
          <w:trHeight w:val="5379"/>
        </w:trPr>
        <w:tc>
          <w:tcPr>
            <w:tcW w:w="361" w:type="dxa"/>
            <w:shd w:val="clear" w:color="auto" w:fill="auto"/>
            <w:noWrap/>
            <w:hideMark/>
          </w:tcPr>
          <w:p w:rsidR="00613C3A" w:rsidRPr="00613C3A" w:rsidRDefault="00613C3A" w:rsidP="00613C3A">
            <w:pPr>
              <w:jc w:val="right"/>
              <w:rPr>
                <w:rFonts w:eastAsia="Times New Roman" w:cs="Times New Roman"/>
                <w:color w:val="000000"/>
                <w:sz w:val="18"/>
                <w:szCs w:val="18"/>
                <w:lang w:eastAsia="zh-CN"/>
              </w:rPr>
            </w:pPr>
            <w:r w:rsidRPr="00613C3A">
              <w:rPr>
                <w:rFonts w:eastAsia="Times New Roman" w:cs="Times New Roman"/>
                <w:color w:val="000000"/>
                <w:sz w:val="18"/>
                <w:szCs w:val="18"/>
                <w:lang w:eastAsia="zh-CN"/>
              </w:rPr>
              <w:t>6</w:t>
            </w:r>
          </w:p>
        </w:tc>
        <w:tc>
          <w:tcPr>
            <w:tcW w:w="2489"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sidRPr="00613C3A">
              <w:rPr>
                <w:rFonts w:eastAsia="Times New Roman" w:cs="Times New Roman"/>
                <w:color w:val="000000"/>
                <w:sz w:val="18"/>
                <w:szCs w:val="18"/>
                <w:lang w:eastAsia="zh-CN"/>
              </w:rPr>
              <w:t>JSW</w:t>
            </w:r>
          </w:p>
        </w:tc>
        <w:tc>
          <w:tcPr>
            <w:tcW w:w="3261"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Pr>
                <w:rFonts w:eastAsia="Times New Roman" w:cs="Times New Roman"/>
                <w:color w:val="000000"/>
                <w:sz w:val="18"/>
                <w:szCs w:val="18"/>
                <w:lang w:eastAsia="zh-CN"/>
              </w:rPr>
              <w:t>Acting Chairman</w:t>
            </w:r>
          </w:p>
        </w:tc>
        <w:tc>
          <w:tcPr>
            <w:tcW w:w="7938" w:type="dxa"/>
            <w:shd w:val="clear" w:color="auto" w:fill="auto"/>
            <w:hideMark/>
          </w:tcPr>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The JSW Group is the largest producer of high-quality hard (type 35) coking coal and a major producer</w:t>
            </w:r>
            <w:r>
              <w:rPr>
                <w:rFonts w:eastAsia="Times New Roman" w:cs="Times New Roman"/>
                <w:color w:val="000000"/>
                <w:sz w:val="18"/>
                <w:szCs w:val="18"/>
                <w:lang w:val="en-US" w:eastAsia="zh-CN"/>
              </w:rPr>
              <w:t xml:space="preserve"> of coke in the European Union. </w:t>
            </w:r>
            <w:r w:rsidRPr="00613C3A">
              <w:rPr>
                <w:rFonts w:eastAsia="Times New Roman" w:cs="Times New Roman"/>
                <w:color w:val="000000"/>
                <w:sz w:val="18"/>
                <w:szCs w:val="18"/>
                <w:lang w:val="en-US" w:eastAsia="zh-CN"/>
              </w:rPr>
              <w:t>JSW’s coking coal is used predominantly in the production of coke which, in addition to iron ore, is an essential component of feedsto</w:t>
            </w:r>
            <w:r>
              <w:rPr>
                <w:rFonts w:eastAsia="Times New Roman" w:cs="Times New Roman"/>
                <w:color w:val="000000"/>
                <w:sz w:val="18"/>
                <w:szCs w:val="18"/>
                <w:lang w:val="en-US" w:eastAsia="zh-CN"/>
              </w:rPr>
              <w:t xml:space="preserve">ck for the production of steel. </w:t>
            </w:r>
            <w:r w:rsidRPr="00613C3A">
              <w:rPr>
                <w:rFonts w:eastAsia="Times New Roman" w:cs="Times New Roman"/>
                <w:color w:val="000000"/>
                <w:sz w:val="18"/>
                <w:szCs w:val="18"/>
                <w:lang w:val="en-US" w:eastAsia="zh-CN"/>
              </w:rPr>
              <w:t>In its coking plants, the JSW Group processes approximately 50% of the coking coal it produces, thus enabling the Group to offer a final product that is more pr</w:t>
            </w:r>
            <w:r>
              <w:rPr>
                <w:rFonts w:eastAsia="Times New Roman" w:cs="Times New Roman"/>
                <w:color w:val="000000"/>
                <w:sz w:val="18"/>
                <w:szCs w:val="18"/>
                <w:lang w:val="en-US" w:eastAsia="zh-CN"/>
              </w:rPr>
              <w:t>ocessed and of a greater value.</w:t>
            </w:r>
          </w:p>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 xml:space="preserve">The Company is also a producer of steam coal, sold mainly </w:t>
            </w:r>
            <w:r>
              <w:rPr>
                <w:rFonts w:eastAsia="Times New Roman" w:cs="Times New Roman"/>
                <w:color w:val="000000"/>
                <w:sz w:val="18"/>
                <w:szCs w:val="18"/>
                <w:lang w:val="en-US" w:eastAsia="zh-CN"/>
              </w:rPr>
              <w:t>to power plants and CHP plants.</w:t>
            </w:r>
          </w:p>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Jastrzębska Spółka Węglowa S.A. was established on 1 April 1993 as one of seven coal companies founded at that time. It consisted of 7 independently operating mining enterprises transformed into a wholly owned</w:t>
            </w:r>
            <w:r>
              <w:rPr>
                <w:rFonts w:eastAsia="Times New Roman" w:cs="Times New Roman"/>
                <w:color w:val="000000"/>
                <w:sz w:val="18"/>
                <w:szCs w:val="18"/>
                <w:lang w:val="en-US" w:eastAsia="zh-CN"/>
              </w:rPr>
              <w:t xml:space="preserve"> company of the State Treasury. </w:t>
            </w:r>
            <w:r w:rsidRPr="00613C3A">
              <w:rPr>
                <w:rFonts w:eastAsia="Times New Roman" w:cs="Times New Roman"/>
                <w:color w:val="000000"/>
                <w:sz w:val="18"/>
                <w:szCs w:val="18"/>
                <w:lang w:val="en-US" w:eastAsia="zh-CN"/>
              </w:rPr>
              <w:t>JSW is composed of 4 mines producing coking coal and steam coal: Borynia-Zofiówka-Jastrzębie, Budryk, Knurów-Szczygłowice and Pniówek, and Zakład Wsparcia Produkcji. Major associates of JSW S.A. include: JSW KOKS S.A., Jastrzębskie Zakłady Remontowe Sp. z o.o., Jastrzębska Spółka Kolejowa Sp. z o.o., Polski Koks S.A. and JSW S</w:t>
            </w:r>
            <w:r>
              <w:rPr>
                <w:rFonts w:eastAsia="Times New Roman" w:cs="Times New Roman"/>
                <w:color w:val="000000"/>
                <w:sz w:val="18"/>
                <w:szCs w:val="18"/>
                <w:lang w:val="en-US" w:eastAsia="zh-CN"/>
              </w:rPr>
              <w:t xml:space="preserve">zkolenie i Górnictwo Sp. z o.o. </w:t>
            </w:r>
          </w:p>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 xml:space="preserve">9.9 million tonnes of coking coal (including 7.5 million tonnes of coking coal type 35) and 4.0 million tonnes of coal for energy purposes was excavated in the mines of JSW S.A. in 2014. Coking plants belonging to JSW S.A. produced 4.0 </w:t>
            </w:r>
            <w:r>
              <w:rPr>
                <w:rFonts w:eastAsia="Times New Roman" w:cs="Times New Roman"/>
                <w:color w:val="000000"/>
                <w:sz w:val="18"/>
                <w:szCs w:val="18"/>
                <w:lang w:val="en-US" w:eastAsia="zh-CN"/>
              </w:rPr>
              <w:t>million tonnes of coke in 2014.</w:t>
            </w:r>
          </w:p>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JSW S.A.’s mines have a total of approx. 2.2 billion tons of documented coal resources (according to JORC), including approx. 0.6 billion tons of recoverable reserves. The Group intends to enlarge its recoverable resource base to maintain a strong position in international markets over the next 60 years.</w:t>
            </w:r>
            <w:r w:rsidRPr="00613C3A">
              <w:rPr>
                <w:rFonts w:eastAsia="Times New Roman" w:cs="Times New Roman"/>
                <w:color w:val="000000"/>
                <w:sz w:val="18"/>
                <w:szCs w:val="18"/>
                <w:lang w:val="en-US" w:eastAsia="zh-CN"/>
              </w:rPr>
              <w:br/>
              <w:t xml:space="preserve">The JSW Group conducts its business in Upper and Lower Silesia. The Group’s products are purchased by customers from Poland, Germany, Austria, the Czech Republic, Slovakia, India and Brazil. Major external customers for the Group’s products include ArcelorMittal Poland, voestalpine Stahl, Moravia Steel, ThyssenKrupp, U.S. Steel </w:t>
            </w:r>
            <w:r>
              <w:rPr>
                <w:rFonts w:eastAsia="Times New Roman" w:cs="Times New Roman"/>
                <w:color w:val="000000"/>
                <w:sz w:val="18"/>
                <w:szCs w:val="18"/>
                <w:lang w:val="en-US" w:eastAsia="zh-CN"/>
              </w:rPr>
              <w:t xml:space="preserve">and Koksownia Częstochowa Nowa. </w:t>
            </w:r>
          </w:p>
          <w:p w:rsidR="00613C3A" w:rsidRP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The Group is one of the largest employers in Poland with more than 32,7 thousand employees, of whom more than 23 thousand work for Jastrzębska Spółka Węglowa S.A.</w:t>
            </w:r>
          </w:p>
        </w:tc>
      </w:tr>
    </w:tbl>
    <w:p w:rsidR="00613C3A" w:rsidRDefault="00613C3A">
      <w:r>
        <w:br w:type="page"/>
      </w: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1"/>
        <w:gridCol w:w="2489"/>
        <w:gridCol w:w="3261"/>
        <w:gridCol w:w="7938"/>
      </w:tblGrid>
      <w:tr w:rsidR="00613C3A" w:rsidRPr="00613C3A" w:rsidTr="00613C3A">
        <w:trPr>
          <w:trHeight w:val="269"/>
        </w:trPr>
        <w:tc>
          <w:tcPr>
            <w:tcW w:w="361" w:type="dxa"/>
            <w:shd w:val="clear" w:color="auto" w:fill="EEECE1" w:themeFill="background2"/>
            <w:noWrap/>
          </w:tcPr>
          <w:p w:rsidR="00613C3A" w:rsidRPr="00613C3A" w:rsidRDefault="00613C3A" w:rsidP="006459BA">
            <w:pPr>
              <w:jc w:val="center"/>
              <w:rPr>
                <w:rFonts w:eastAsia="Times New Roman" w:cs="Times New Roman"/>
                <w:b/>
                <w:bCs/>
                <w:color w:val="000000"/>
                <w:sz w:val="18"/>
                <w:szCs w:val="18"/>
                <w:lang w:eastAsia="zh-CN"/>
              </w:rPr>
            </w:pPr>
            <w:r w:rsidRPr="00613C3A">
              <w:rPr>
                <w:rFonts w:eastAsia="Times New Roman" w:cs="Times New Roman"/>
                <w:b/>
                <w:bCs/>
                <w:color w:val="000000"/>
                <w:sz w:val="18"/>
                <w:szCs w:val="18"/>
                <w:lang w:eastAsia="zh-CN"/>
              </w:rPr>
              <w:lastRenderedPageBreak/>
              <w:t>Lp.</w:t>
            </w:r>
          </w:p>
        </w:tc>
        <w:tc>
          <w:tcPr>
            <w:tcW w:w="2489" w:type="dxa"/>
            <w:shd w:val="clear" w:color="auto" w:fill="EEECE1" w:themeFill="background2"/>
            <w:noWrap/>
          </w:tcPr>
          <w:p w:rsidR="00613C3A" w:rsidRPr="00613C3A" w:rsidRDefault="00613C3A" w:rsidP="006459BA">
            <w:pPr>
              <w:jc w:val="center"/>
              <w:rPr>
                <w:rFonts w:eastAsia="Times New Roman" w:cs="Times New Roman"/>
                <w:b/>
                <w:bCs/>
                <w:color w:val="000000"/>
                <w:sz w:val="18"/>
                <w:szCs w:val="18"/>
                <w:lang w:eastAsia="zh-CN"/>
              </w:rPr>
            </w:pPr>
            <w:r>
              <w:rPr>
                <w:rFonts w:eastAsia="Times New Roman" w:cs="Times New Roman"/>
                <w:b/>
                <w:bCs/>
                <w:color w:val="000000"/>
                <w:sz w:val="18"/>
                <w:szCs w:val="18"/>
                <w:lang w:eastAsia="zh-CN"/>
              </w:rPr>
              <w:t>Company name</w:t>
            </w:r>
          </w:p>
        </w:tc>
        <w:tc>
          <w:tcPr>
            <w:tcW w:w="3261" w:type="dxa"/>
            <w:shd w:val="clear" w:color="auto" w:fill="EEECE1" w:themeFill="background2"/>
            <w:noWrap/>
          </w:tcPr>
          <w:p w:rsidR="00613C3A" w:rsidRPr="00613C3A" w:rsidRDefault="00613C3A" w:rsidP="006459BA">
            <w:pPr>
              <w:jc w:val="center"/>
              <w:rPr>
                <w:rFonts w:eastAsia="Times New Roman" w:cs="Times New Roman"/>
                <w:b/>
                <w:bCs/>
                <w:color w:val="000000"/>
                <w:sz w:val="18"/>
                <w:szCs w:val="18"/>
                <w:lang w:eastAsia="zh-CN"/>
              </w:rPr>
            </w:pPr>
            <w:r>
              <w:rPr>
                <w:rFonts w:eastAsia="Times New Roman" w:cs="Times New Roman"/>
                <w:b/>
                <w:bCs/>
                <w:color w:val="000000"/>
                <w:sz w:val="18"/>
                <w:szCs w:val="18"/>
                <w:lang w:eastAsia="zh-CN"/>
              </w:rPr>
              <w:t>Level of representation</w:t>
            </w:r>
          </w:p>
        </w:tc>
        <w:tc>
          <w:tcPr>
            <w:tcW w:w="7938" w:type="dxa"/>
            <w:shd w:val="clear" w:color="auto" w:fill="EEECE1" w:themeFill="background2"/>
          </w:tcPr>
          <w:p w:rsidR="00613C3A" w:rsidRPr="00613C3A" w:rsidRDefault="00613C3A" w:rsidP="006459BA">
            <w:pPr>
              <w:jc w:val="center"/>
              <w:rPr>
                <w:rFonts w:eastAsia="Times New Roman" w:cs="Times New Roman"/>
                <w:b/>
                <w:bCs/>
                <w:color w:val="000000"/>
                <w:sz w:val="18"/>
                <w:szCs w:val="18"/>
                <w:lang w:eastAsia="zh-CN"/>
              </w:rPr>
            </w:pPr>
            <w:r>
              <w:rPr>
                <w:rFonts w:eastAsia="Times New Roman" w:cs="Times New Roman"/>
                <w:b/>
                <w:bCs/>
                <w:color w:val="000000"/>
                <w:sz w:val="18"/>
                <w:szCs w:val="18"/>
                <w:lang w:eastAsia="zh-CN"/>
              </w:rPr>
              <w:t>Information about the company</w:t>
            </w:r>
          </w:p>
        </w:tc>
      </w:tr>
      <w:tr w:rsidR="00613C3A" w:rsidRPr="00613C3A" w:rsidTr="00613C3A">
        <w:trPr>
          <w:trHeight w:val="2112"/>
        </w:trPr>
        <w:tc>
          <w:tcPr>
            <w:tcW w:w="361" w:type="dxa"/>
            <w:shd w:val="clear" w:color="auto" w:fill="auto"/>
            <w:noWrap/>
            <w:hideMark/>
          </w:tcPr>
          <w:p w:rsidR="00613C3A" w:rsidRPr="00613C3A" w:rsidRDefault="00613C3A" w:rsidP="00613C3A">
            <w:pPr>
              <w:jc w:val="right"/>
              <w:rPr>
                <w:rFonts w:eastAsia="Times New Roman" w:cs="Times New Roman"/>
                <w:color w:val="000000"/>
                <w:sz w:val="18"/>
                <w:szCs w:val="18"/>
                <w:lang w:eastAsia="zh-CN"/>
              </w:rPr>
            </w:pPr>
            <w:r w:rsidRPr="00613C3A">
              <w:rPr>
                <w:rFonts w:eastAsia="Times New Roman" w:cs="Times New Roman"/>
                <w:color w:val="000000"/>
                <w:sz w:val="18"/>
                <w:szCs w:val="18"/>
                <w:lang w:eastAsia="zh-CN"/>
              </w:rPr>
              <w:t>7</w:t>
            </w:r>
          </w:p>
        </w:tc>
        <w:tc>
          <w:tcPr>
            <w:tcW w:w="2489"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sidRPr="00613C3A">
              <w:rPr>
                <w:rFonts w:eastAsia="Times New Roman" w:cs="Times New Roman"/>
                <w:color w:val="000000"/>
                <w:sz w:val="18"/>
                <w:szCs w:val="18"/>
                <w:lang w:eastAsia="zh-CN"/>
              </w:rPr>
              <w:t>Bioten</w:t>
            </w:r>
          </w:p>
        </w:tc>
        <w:tc>
          <w:tcPr>
            <w:tcW w:w="3261"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Pr>
                <w:rFonts w:eastAsia="Times New Roman" w:cs="Times New Roman"/>
                <w:color w:val="000000"/>
                <w:sz w:val="18"/>
                <w:szCs w:val="18"/>
                <w:lang w:eastAsia="zh-CN"/>
              </w:rPr>
              <w:t>Director General</w:t>
            </w:r>
          </w:p>
        </w:tc>
        <w:tc>
          <w:tcPr>
            <w:tcW w:w="7938" w:type="dxa"/>
            <w:shd w:val="clear" w:color="auto" w:fill="auto"/>
            <w:hideMark/>
          </w:tcPr>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Bioten has developed the technology for utilization of crude glycerine phase on the II generation biofuel. The company has built first pilot system for the production of II generation biofuel called POSTERUS 2020.</w:t>
            </w:r>
            <w:r w:rsidRPr="00613C3A">
              <w:rPr>
                <w:rFonts w:eastAsia="Times New Roman" w:cs="Times New Roman"/>
                <w:color w:val="000000"/>
                <w:sz w:val="18"/>
                <w:szCs w:val="18"/>
                <w:lang w:val="en-US" w:eastAsia="zh-CN"/>
              </w:rPr>
              <w:br/>
              <w:t>The developed technology is a part of long-term policy of promotion of renewable energy sources in Poland. Bioten's biofuel can contribute to achieve the target of renewable energy sources in the final energy consumption. Entities implementing the National Indicative Target will be obliged to look for biocomponents produc</w:t>
            </w:r>
            <w:r>
              <w:rPr>
                <w:rFonts w:eastAsia="Times New Roman" w:cs="Times New Roman"/>
                <w:color w:val="000000"/>
                <w:sz w:val="18"/>
                <w:szCs w:val="18"/>
                <w:lang w:val="en-US" w:eastAsia="zh-CN"/>
              </w:rPr>
              <w:t>ed in such technologies.</w:t>
            </w:r>
          </w:p>
          <w:p w:rsidR="00613C3A" w:rsidRP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Bioten has been granted the status of research and development center by the Ministry of Development and has the status of scientific unit recognized by the Ministry of Science and Higher Education. The company is a member of the Mazovian ICT Cluster.</w:t>
            </w:r>
          </w:p>
        </w:tc>
      </w:tr>
      <w:tr w:rsidR="00613C3A" w:rsidRPr="00613C3A" w:rsidTr="00613C3A">
        <w:trPr>
          <w:trHeight w:val="2113"/>
        </w:trPr>
        <w:tc>
          <w:tcPr>
            <w:tcW w:w="361" w:type="dxa"/>
            <w:shd w:val="clear" w:color="auto" w:fill="auto"/>
            <w:noWrap/>
            <w:hideMark/>
          </w:tcPr>
          <w:p w:rsidR="00613C3A" w:rsidRPr="00613C3A" w:rsidRDefault="00613C3A" w:rsidP="00613C3A">
            <w:pPr>
              <w:jc w:val="right"/>
              <w:rPr>
                <w:rFonts w:eastAsia="Times New Roman" w:cs="Times New Roman"/>
                <w:color w:val="000000"/>
                <w:sz w:val="18"/>
                <w:szCs w:val="18"/>
                <w:lang w:eastAsia="zh-CN"/>
              </w:rPr>
            </w:pPr>
            <w:r w:rsidRPr="00613C3A">
              <w:rPr>
                <w:rFonts w:eastAsia="Times New Roman" w:cs="Times New Roman"/>
                <w:color w:val="000000"/>
                <w:sz w:val="18"/>
                <w:szCs w:val="18"/>
                <w:lang w:eastAsia="zh-CN"/>
              </w:rPr>
              <w:t>8</w:t>
            </w:r>
          </w:p>
        </w:tc>
        <w:tc>
          <w:tcPr>
            <w:tcW w:w="2489"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sidRPr="00613C3A">
              <w:rPr>
                <w:rFonts w:eastAsia="Times New Roman" w:cs="Times New Roman"/>
                <w:color w:val="000000"/>
                <w:sz w:val="18"/>
                <w:szCs w:val="18"/>
                <w:lang w:eastAsia="zh-CN"/>
              </w:rPr>
              <w:t>Energetyka Solarna Ensol Sp. z o.o.</w:t>
            </w:r>
          </w:p>
        </w:tc>
        <w:tc>
          <w:tcPr>
            <w:tcW w:w="3261" w:type="dxa"/>
            <w:shd w:val="clear" w:color="auto" w:fill="auto"/>
            <w:noWrap/>
            <w:hideMark/>
          </w:tcPr>
          <w:p w:rsidR="00613C3A" w:rsidRPr="00613C3A" w:rsidRDefault="00613C3A" w:rsidP="00613C3A">
            <w:pPr>
              <w:rPr>
                <w:rFonts w:eastAsia="Times New Roman" w:cs="Times New Roman"/>
                <w:color w:val="000000"/>
                <w:sz w:val="18"/>
                <w:szCs w:val="18"/>
                <w:lang w:eastAsia="zh-CN"/>
              </w:rPr>
            </w:pPr>
            <w:r>
              <w:rPr>
                <w:rFonts w:eastAsia="Times New Roman" w:cs="Times New Roman"/>
                <w:color w:val="000000"/>
                <w:sz w:val="18"/>
                <w:szCs w:val="18"/>
                <w:lang w:eastAsia="zh-CN"/>
              </w:rPr>
              <w:t>Deputy Sales Director</w:t>
            </w:r>
            <w:r w:rsidRPr="00613C3A">
              <w:rPr>
                <w:rFonts w:eastAsia="Times New Roman" w:cs="Times New Roman"/>
                <w:color w:val="000000"/>
                <w:sz w:val="18"/>
                <w:szCs w:val="18"/>
                <w:lang w:eastAsia="zh-CN"/>
              </w:rPr>
              <w:t xml:space="preserve"> </w:t>
            </w:r>
          </w:p>
        </w:tc>
        <w:tc>
          <w:tcPr>
            <w:tcW w:w="7938" w:type="dxa"/>
            <w:shd w:val="clear" w:color="auto" w:fill="auto"/>
            <w:hideMark/>
          </w:tcPr>
          <w:p w:rsid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 xml:space="preserve">A Polish  manufacturer company which has an experience in renewable energy sources on Polish and international markets is looking for expanding activity through </w:t>
            </w:r>
            <w:r>
              <w:rPr>
                <w:rFonts w:eastAsia="Times New Roman" w:cs="Times New Roman"/>
                <w:color w:val="000000"/>
                <w:sz w:val="18"/>
                <w:szCs w:val="18"/>
                <w:lang w:val="en-US" w:eastAsia="zh-CN"/>
              </w:rPr>
              <w:t>distribution agreements.</w:t>
            </w:r>
          </w:p>
          <w:p w:rsidR="00613C3A" w:rsidRPr="00613C3A" w:rsidRDefault="00613C3A" w:rsidP="00613C3A">
            <w:pPr>
              <w:jc w:val="both"/>
              <w:rPr>
                <w:rFonts w:eastAsia="Times New Roman" w:cs="Times New Roman"/>
                <w:color w:val="000000"/>
                <w:sz w:val="18"/>
                <w:szCs w:val="18"/>
                <w:lang w:val="en-US" w:eastAsia="zh-CN"/>
              </w:rPr>
            </w:pPr>
            <w:r w:rsidRPr="00613C3A">
              <w:rPr>
                <w:rFonts w:eastAsia="Times New Roman" w:cs="Times New Roman"/>
                <w:color w:val="000000"/>
                <w:sz w:val="18"/>
                <w:szCs w:val="18"/>
                <w:lang w:val="en-US" w:eastAsia="zh-CN"/>
              </w:rPr>
              <w:t xml:space="preserve">The company was established in 2007 and is currently one of the leading producer of solar technology and pump groups  in Poland. The company's activity has been oriented towards manufacture of flat collectors, assembly sets as well as towards completing and selling solar fixtures and complete solar systems. The company has an extensive experience in solar panels, hybrid collector, mounting and connecting systems manufacturing. The product range is constantly expanding in production of pump groups for solar installations and entire systems for central heating. The  products are available in OEM sale. The company promotes technological innovations and high quality materials, putting the impact on improvement. </w:t>
            </w:r>
          </w:p>
        </w:tc>
      </w:tr>
    </w:tbl>
    <w:p w:rsidR="00954ED7" w:rsidRPr="00613C3A" w:rsidRDefault="00723722">
      <w:pPr>
        <w:rPr>
          <w:lang w:val="en-US"/>
        </w:rPr>
      </w:pPr>
    </w:p>
    <w:sectPr w:rsidR="00954ED7" w:rsidRPr="00613C3A" w:rsidSect="00613C3A">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722" w:rsidRDefault="00723722" w:rsidP="00613C3A">
      <w:r>
        <w:separator/>
      </w:r>
    </w:p>
  </w:endnote>
  <w:endnote w:type="continuationSeparator" w:id="0">
    <w:p w:rsidR="00723722" w:rsidRDefault="00723722" w:rsidP="0061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472670"/>
      <w:docPartObj>
        <w:docPartGallery w:val="Page Numbers (Bottom of Page)"/>
        <w:docPartUnique/>
      </w:docPartObj>
    </w:sdtPr>
    <w:sdtEndPr/>
    <w:sdtContent>
      <w:p w:rsidR="00613C3A" w:rsidRDefault="00613C3A">
        <w:pPr>
          <w:pStyle w:val="Footer"/>
          <w:jc w:val="center"/>
        </w:pPr>
        <w:r>
          <w:fldChar w:fldCharType="begin"/>
        </w:r>
        <w:r>
          <w:instrText>PAGE   \* MERGEFORMAT</w:instrText>
        </w:r>
        <w:r>
          <w:fldChar w:fldCharType="separate"/>
        </w:r>
        <w:r w:rsidR="005343CF">
          <w:rPr>
            <w:noProof/>
          </w:rPr>
          <w:t>1</w:t>
        </w:r>
        <w:r>
          <w:fldChar w:fldCharType="end"/>
        </w:r>
      </w:p>
    </w:sdtContent>
  </w:sdt>
  <w:p w:rsidR="00613C3A" w:rsidRDefault="00613C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722" w:rsidRDefault="00723722" w:rsidP="00613C3A">
      <w:r>
        <w:separator/>
      </w:r>
    </w:p>
  </w:footnote>
  <w:footnote w:type="continuationSeparator" w:id="0">
    <w:p w:rsidR="00723722" w:rsidRDefault="00723722" w:rsidP="00613C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3A"/>
    <w:rsid w:val="004C1A6E"/>
    <w:rsid w:val="005343CF"/>
    <w:rsid w:val="00572137"/>
    <w:rsid w:val="00592CB9"/>
    <w:rsid w:val="005A5ABA"/>
    <w:rsid w:val="005E1205"/>
    <w:rsid w:val="005F6681"/>
    <w:rsid w:val="006044C0"/>
    <w:rsid w:val="00613C3A"/>
    <w:rsid w:val="00723722"/>
    <w:rsid w:val="007761B4"/>
    <w:rsid w:val="00870A52"/>
    <w:rsid w:val="00996A71"/>
    <w:rsid w:val="009E49B7"/>
    <w:rsid w:val="00C946ED"/>
  </w:rsids>
  <m:mathPr>
    <m:mathFont m:val="Cambria Math"/>
    <m:brkBin m:val="before"/>
    <m:brkBinSub m:val="--"/>
    <m:smallFrac m:val="0"/>
    <m:dispDef/>
    <m:lMargin m:val="0"/>
    <m:rMargin m:val="0"/>
    <m:defJc m:val="centerGroup"/>
    <m:wrapIndent m:val="1440"/>
    <m:intLim m:val="subSup"/>
    <m:naryLim m:val="undOvr"/>
  </m:mathPr>
  <w:themeFontLang w:val="pl-P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BFA50-C022-403A-97BB-8562AE40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heme="minorBidi"/>
        <w:sz w:val="22"/>
        <w:szCs w:val="22"/>
        <w:lang w:val="pl-PL"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C3A"/>
    <w:pPr>
      <w:tabs>
        <w:tab w:val="center" w:pos="4536"/>
        <w:tab w:val="right" w:pos="9072"/>
      </w:tabs>
    </w:pPr>
  </w:style>
  <w:style w:type="character" w:customStyle="1" w:styleId="HeaderChar">
    <w:name w:val="Header Char"/>
    <w:basedOn w:val="DefaultParagraphFont"/>
    <w:link w:val="Header"/>
    <w:uiPriority w:val="99"/>
    <w:rsid w:val="00613C3A"/>
  </w:style>
  <w:style w:type="paragraph" w:styleId="Footer">
    <w:name w:val="footer"/>
    <w:basedOn w:val="Normal"/>
    <w:link w:val="FooterChar"/>
    <w:uiPriority w:val="99"/>
    <w:unhideWhenUsed/>
    <w:rsid w:val="00613C3A"/>
    <w:pPr>
      <w:tabs>
        <w:tab w:val="center" w:pos="4536"/>
        <w:tab w:val="right" w:pos="9072"/>
      </w:tabs>
    </w:pPr>
  </w:style>
  <w:style w:type="character" w:customStyle="1" w:styleId="FooterChar">
    <w:name w:val="Footer Char"/>
    <w:basedOn w:val="DefaultParagraphFont"/>
    <w:link w:val="Footer"/>
    <w:uiPriority w:val="99"/>
    <w:rsid w:val="00613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541563">
      <w:bodyDiv w:val="1"/>
      <w:marLeft w:val="0"/>
      <w:marRight w:val="0"/>
      <w:marTop w:val="0"/>
      <w:marBottom w:val="0"/>
      <w:divBdr>
        <w:top w:val="none" w:sz="0" w:space="0" w:color="auto"/>
        <w:left w:val="none" w:sz="0" w:space="0" w:color="auto"/>
        <w:bottom w:val="none" w:sz="0" w:space="0" w:color="auto"/>
        <w:right w:val="none" w:sz="0" w:space="0" w:color="auto"/>
      </w:divBdr>
    </w:div>
    <w:div w:id="117710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EE63-4CDF-4F33-A0F4-EC5B5FC8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6682</Characters>
  <Application>Microsoft Office Word</Application>
  <DocSecurity>0</DocSecurity>
  <Lines>55</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Jamróz Tomasz Jan</dc:creator>
  <cp:lastModifiedBy>Greta Drossart</cp:lastModifiedBy>
  <cp:revision>2</cp:revision>
  <dcterms:created xsi:type="dcterms:W3CDTF">2017-10-26T14:20:00Z</dcterms:created>
  <dcterms:modified xsi:type="dcterms:W3CDTF">2017-10-26T14:20:00Z</dcterms:modified>
</cp:coreProperties>
</file>