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5F5A" w14:textId="77777777" w:rsidR="001B31D9" w:rsidRDefault="007B1C91">
      <w:pPr>
        <w:spacing w:after="23" w:line="259" w:lineRule="auto"/>
        <w:ind w:left="0" w:right="5046" w:firstLine="0"/>
        <w:jc w:val="center"/>
      </w:pPr>
      <w:r>
        <w:rPr>
          <w:noProof/>
        </w:rPr>
        <w:drawing>
          <wp:inline distT="0" distB="0" distL="0" distR="0" wp14:anchorId="20895F7A" wp14:editId="20895F7B">
            <wp:extent cx="3383280" cy="98806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8">
                      <a:extLst>
                        <a:ext uri="{28A0092B-C50C-407E-A947-70E740481C1C}">
                          <a14:useLocalDpi xmlns:a14="http://schemas.microsoft.com/office/drawing/2010/main" val="0"/>
                        </a:ext>
                      </a:extLst>
                    </a:blip>
                    <a:stretch>
                      <a:fillRect/>
                    </a:stretch>
                  </pic:blipFill>
                  <pic:spPr>
                    <a:xfrm>
                      <a:off x="0" y="0"/>
                      <a:ext cx="3383280" cy="988060"/>
                    </a:xfrm>
                    <a:prstGeom prst="rect">
                      <a:avLst/>
                    </a:prstGeom>
                  </pic:spPr>
                </pic:pic>
              </a:graphicData>
            </a:graphic>
          </wp:inline>
        </w:drawing>
      </w:r>
      <w:r>
        <w:rPr>
          <w:rFonts w:ascii="Flanders Art Sans" w:eastAsia="Flanders Art Sans" w:hAnsi="Flanders Art Sans" w:cs="Flanders Art Sans"/>
          <w:b/>
          <w:bCs/>
          <w:sz w:val="28"/>
          <w:szCs w:val="28"/>
        </w:rPr>
        <w:t xml:space="preserve"> </w:t>
      </w:r>
    </w:p>
    <w:p w14:paraId="20895F5B" w14:textId="06DF42B2" w:rsidR="001B31D9" w:rsidRDefault="007B1C91">
      <w:pPr>
        <w:spacing w:after="0" w:line="259" w:lineRule="auto"/>
        <w:ind w:left="0" w:right="2" w:firstLine="0"/>
        <w:jc w:val="center"/>
        <w:rPr>
          <w:b/>
          <w:color w:val="000000" w:themeColor="text1"/>
          <w:sz w:val="36"/>
          <w:szCs w:val="36"/>
        </w:rPr>
      </w:pPr>
      <w:r>
        <w:rPr>
          <w:b/>
          <w:color w:val="000000" w:themeColor="text1"/>
          <w:sz w:val="36"/>
          <w:szCs w:val="36"/>
        </w:rPr>
        <w:t xml:space="preserve">Vlaamse buitenlandse handel </w:t>
      </w:r>
      <w:r w:rsidR="00177C56">
        <w:rPr>
          <w:b/>
          <w:color w:val="000000" w:themeColor="text1"/>
          <w:sz w:val="36"/>
          <w:szCs w:val="36"/>
        </w:rPr>
        <w:t xml:space="preserve">mei </w:t>
      </w:r>
      <w:r>
        <w:rPr>
          <w:b/>
          <w:color w:val="000000" w:themeColor="text1"/>
          <w:sz w:val="36"/>
          <w:szCs w:val="36"/>
        </w:rPr>
        <w:t>202</w:t>
      </w:r>
      <w:r w:rsidR="00332853">
        <w:rPr>
          <w:b/>
          <w:color w:val="000000" w:themeColor="text1"/>
          <w:sz w:val="36"/>
          <w:szCs w:val="36"/>
        </w:rPr>
        <w:t>2</w:t>
      </w:r>
    </w:p>
    <w:p w14:paraId="20895F5C" w14:textId="77777777" w:rsidR="001B31D9" w:rsidRDefault="007B1C91">
      <w:pPr>
        <w:spacing w:after="0" w:line="259" w:lineRule="auto"/>
        <w:ind w:left="79" w:firstLine="0"/>
        <w:jc w:val="center"/>
        <w:rPr>
          <w:color w:val="000000" w:themeColor="text1"/>
        </w:rPr>
      </w:pPr>
      <w:r>
        <w:rPr>
          <w:rFonts w:ascii="Flanders Art Sans" w:eastAsia="Flanders Art Sans" w:hAnsi="Flanders Art Sans" w:cs="Flanders Art Sans"/>
          <w:b/>
          <w:color w:val="000000" w:themeColor="text1"/>
          <w:sz w:val="28"/>
        </w:rPr>
        <w:t xml:space="preserve"> </w:t>
      </w:r>
    </w:p>
    <w:p w14:paraId="20895F5D" w14:textId="1A275F9B" w:rsidR="001B31D9" w:rsidRDefault="007B1C91">
      <w:pPr>
        <w:spacing w:after="0" w:line="259" w:lineRule="auto"/>
        <w:ind w:left="0" w:right="8" w:firstLine="0"/>
        <w:jc w:val="center"/>
        <w:rPr>
          <w:b/>
          <w:color w:val="FF0000"/>
          <w:sz w:val="36"/>
          <w:szCs w:val="36"/>
        </w:rPr>
      </w:pPr>
      <w:r>
        <w:rPr>
          <w:b/>
          <w:color w:val="auto"/>
          <w:sz w:val="36"/>
          <w:szCs w:val="36"/>
        </w:rPr>
        <w:t>uitvoer: +</w:t>
      </w:r>
      <w:r w:rsidR="009B7B93">
        <w:rPr>
          <w:b/>
          <w:color w:val="auto"/>
          <w:sz w:val="36"/>
          <w:szCs w:val="36"/>
        </w:rPr>
        <w:t>3</w:t>
      </w:r>
      <w:r>
        <w:rPr>
          <w:b/>
          <w:color w:val="auto"/>
          <w:sz w:val="36"/>
          <w:szCs w:val="36"/>
        </w:rPr>
        <w:t>5,</w:t>
      </w:r>
      <w:r w:rsidR="009B7B93">
        <w:rPr>
          <w:b/>
          <w:color w:val="auto"/>
          <w:sz w:val="36"/>
          <w:szCs w:val="36"/>
        </w:rPr>
        <w:t>51</w:t>
      </w:r>
      <w:r>
        <w:rPr>
          <w:b/>
          <w:color w:val="auto"/>
          <w:sz w:val="36"/>
          <w:szCs w:val="36"/>
        </w:rPr>
        <w:t>% ; invoer +</w:t>
      </w:r>
      <w:r w:rsidR="00332853">
        <w:rPr>
          <w:b/>
          <w:color w:val="auto"/>
          <w:sz w:val="36"/>
          <w:szCs w:val="36"/>
        </w:rPr>
        <w:t>39</w:t>
      </w:r>
      <w:r>
        <w:rPr>
          <w:b/>
          <w:color w:val="auto"/>
          <w:sz w:val="36"/>
          <w:szCs w:val="36"/>
        </w:rPr>
        <w:t>,8</w:t>
      </w:r>
      <w:r w:rsidR="00332853">
        <w:rPr>
          <w:b/>
          <w:color w:val="auto"/>
          <w:sz w:val="36"/>
          <w:szCs w:val="36"/>
        </w:rPr>
        <w:t>5</w:t>
      </w:r>
      <w:r>
        <w:rPr>
          <w:b/>
          <w:color w:val="auto"/>
          <w:sz w:val="36"/>
          <w:szCs w:val="36"/>
        </w:rPr>
        <w:t xml:space="preserve">% </w:t>
      </w:r>
    </w:p>
    <w:p w14:paraId="20895F5E" w14:textId="04FB0379" w:rsidR="001B31D9" w:rsidRDefault="001B31D9">
      <w:pPr>
        <w:autoSpaceDE w:val="0"/>
        <w:autoSpaceDN w:val="0"/>
        <w:adjustRightInd w:val="0"/>
        <w:spacing w:after="0" w:line="240" w:lineRule="auto"/>
        <w:ind w:left="0" w:firstLine="0"/>
        <w:jc w:val="center"/>
        <w:rPr>
          <w:rFonts w:eastAsia="Times New Roman" w:cs="Calibri"/>
          <w:b/>
          <w:bCs/>
          <w:sz w:val="27"/>
          <w:szCs w:val="27"/>
        </w:rPr>
      </w:pPr>
    </w:p>
    <w:p w14:paraId="3B8342FE" w14:textId="397665D2" w:rsidR="00167F90" w:rsidRPr="0040262D" w:rsidRDefault="00743ED8">
      <w:pPr>
        <w:spacing w:before="480" w:after="240" w:line="259" w:lineRule="auto"/>
        <w:ind w:left="0" w:firstLine="0"/>
        <w:rPr>
          <w:color w:val="auto"/>
          <w:sz w:val="24"/>
          <w:szCs w:val="24"/>
        </w:rPr>
      </w:pPr>
      <w:r w:rsidRPr="00145D15">
        <w:rPr>
          <w:color w:val="auto"/>
          <w:sz w:val="24"/>
          <w:szCs w:val="24"/>
        </w:rPr>
        <w:t>De maand mei bracht de 15</w:t>
      </w:r>
      <w:r w:rsidRPr="00145D15">
        <w:rPr>
          <w:color w:val="auto"/>
          <w:sz w:val="24"/>
          <w:szCs w:val="24"/>
          <w:vertAlign w:val="superscript"/>
        </w:rPr>
        <w:t>de</w:t>
      </w:r>
      <w:r w:rsidRPr="00145D15">
        <w:rPr>
          <w:color w:val="auto"/>
          <w:sz w:val="24"/>
          <w:szCs w:val="24"/>
        </w:rPr>
        <w:t xml:space="preserve"> </w:t>
      </w:r>
      <w:r w:rsidR="007B1C91" w:rsidRPr="00145D15">
        <w:rPr>
          <w:color w:val="auto"/>
          <w:sz w:val="24"/>
          <w:szCs w:val="24"/>
        </w:rPr>
        <w:t>export</w:t>
      </w:r>
      <w:r w:rsidRPr="00145D15">
        <w:rPr>
          <w:color w:val="auto"/>
          <w:sz w:val="24"/>
          <w:szCs w:val="24"/>
        </w:rPr>
        <w:t>stijging</w:t>
      </w:r>
      <w:r w:rsidR="00B558CE">
        <w:rPr>
          <w:color w:val="auto"/>
          <w:sz w:val="24"/>
          <w:szCs w:val="24"/>
        </w:rPr>
        <w:t xml:space="preserve"> -</w:t>
      </w:r>
      <w:r w:rsidRPr="00145D15">
        <w:rPr>
          <w:color w:val="auto"/>
          <w:sz w:val="24"/>
          <w:szCs w:val="24"/>
        </w:rPr>
        <w:t xml:space="preserve"> met dubbele cijfers</w:t>
      </w:r>
      <w:r w:rsidR="00B558CE">
        <w:rPr>
          <w:color w:val="auto"/>
          <w:sz w:val="24"/>
          <w:szCs w:val="24"/>
        </w:rPr>
        <w:t xml:space="preserve"> -</w:t>
      </w:r>
      <w:r w:rsidRPr="00145D15">
        <w:rPr>
          <w:color w:val="auto"/>
          <w:sz w:val="24"/>
          <w:szCs w:val="24"/>
        </w:rPr>
        <w:t xml:space="preserve"> </w:t>
      </w:r>
      <w:r w:rsidR="00145D15" w:rsidRPr="00145D15">
        <w:rPr>
          <w:color w:val="auto"/>
          <w:sz w:val="24"/>
          <w:szCs w:val="24"/>
        </w:rPr>
        <w:t>op rij met zich mee.</w:t>
      </w:r>
      <w:r w:rsidR="007B1C91" w:rsidRPr="00145D15">
        <w:rPr>
          <w:color w:val="auto"/>
          <w:sz w:val="24"/>
          <w:szCs w:val="24"/>
        </w:rPr>
        <w:t xml:space="preserve"> April 202</w:t>
      </w:r>
      <w:r w:rsidR="00B51C02" w:rsidRPr="00145D15">
        <w:rPr>
          <w:color w:val="auto"/>
          <w:sz w:val="24"/>
          <w:szCs w:val="24"/>
        </w:rPr>
        <w:t>2</w:t>
      </w:r>
      <w:r w:rsidR="007B1C91" w:rsidRPr="00145D15">
        <w:rPr>
          <w:color w:val="auto"/>
          <w:sz w:val="24"/>
          <w:szCs w:val="24"/>
        </w:rPr>
        <w:t xml:space="preserve"> </w:t>
      </w:r>
      <w:r w:rsidR="007B1C91">
        <w:rPr>
          <w:color w:val="auto"/>
          <w:sz w:val="24"/>
          <w:szCs w:val="24"/>
        </w:rPr>
        <w:t xml:space="preserve">bracht </w:t>
      </w:r>
      <w:r w:rsidR="00283476">
        <w:rPr>
          <w:color w:val="auto"/>
          <w:sz w:val="24"/>
          <w:szCs w:val="24"/>
        </w:rPr>
        <w:t xml:space="preserve">nog </w:t>
      </w:r>
      <w:r w:rsidR="007B1C91">
        <w:rPr>
          <w:color w:val="auto"/>
          <w:sz w:val="24"/>
          <w:szCs w:val="24"/>
        </w:rPr>
        <w:t xml:space="preserve">een maandklim van </w:t>
      </w:r>
      <w:r w:rsidR="00B51C02">
        <w:rPr>
          <w:color w:val="auto"/>
          <w:sz w:val="24"/>
          <w:szCs w:val="24"/>
        </w:rPr>
        <w:t>17</w:t>
      </w:r>
      <w:r w:rsidR="007B1C91">
        <w:rPr>
          <w:color w:val="auto"/>
          <w:sz w:val="24"/>
          <w:szCs w:val="24"/>
        </w:rPr>
        <w:t>,8</w:t>
      </w:r>
      <w:r w:rsidR="00B51C02">
        <w:rPr>
          <w:color w:val="auto"/>
          <w:sz w:val="24"/>
          <w:szCs w:val="24"/>
        </w:rPr>
        <w:t>4</w:t>
      </w:r>
      <w:r w:rsidR="007B1C91">
        <w:rPr>
          <w:color w:val="auto"/>
          <w:sz w:val="24"/>
          <w:szCs w:val="24"/>
        </w:rPr>
        <w:t>% tegenover april 202</w:t>
      </w:r>
      <w:r w:rsidR="00BA0012">
        <w:rPr>
          <w:color w:val="auto"/>
          <w:sz w:val="24"/>
          <w:szCs w:val="24"/>
        </w:rPr>
        <w:t>2</w:t>
      </w:r>
      <w:r w:rsidR="007B1C91">
        <w:rPr>
          <w:color w:val="auto"/>
          <w:sz w:val="24"/>
          <w:szCs w:val="24"/>
        </w:rPr>
        <w:t xml:space="preserve"> en </w:t>
      </w:r>
      <w:r w:rsidR="007B1C91">
        <w:rPr>
          <w:b/>
          <w:bCs/>
          <w:color w:val="auto"/>
          <w:sz w:val="24"/>
          <w:szCs w:val="24"/>
        </w:rPr>
        <w:t>mei</w:t>
      </w:r>
      <w:r w:rsidR="007B1C91">
        <w:rPr>
          <w:color w:val="auto"/>
          <w:sz w:val="24"/>
          <w:szCs w:val="24"/>
        </w:rPr>
        <w:t xml:space="preserve"> </w:t>
      </w:r>
      <w:r w:rsidR="007B1C91">
        <w:rPr>
          <w:b/>
          <w:bCs/>
          <w:color w:val="auto"/>
          <w:sz w:val="24"/>
          <w:szCs w:val="24"/>
        </w:rPr>
        <w:t>202</w:t>
      </w:r>
      <w:r w:rsidR="00BA0012">
        <w:rPr>
          <w:b/>
          <w:bCs/>
          <w:color w:val="auto"/>
          <w:sz w:val="24"/>
          <w:szCs w:val="24"/>
        </w:rPr>
        <w:t>2</w:t>
      </w:r>
      <w:r w:rsidR="007B1C91">
        <w:rPr>
          <w:color w:val="auto"/>
          <w:sz w:val="24"/>
          <w:szCs w:val="24"/>
        </w:rPr>
        <w:t xml:space="preserve"> bevestigde met een vooruitgang van maar liefst </w:t>
      </w:r>
      <w:r w:rsidR="00BA0012">
        <w:rPr>
          <w:color w:val="auto"/>
          <w:sz w:val="24"/>
          <w:szCs w:val="24"/>
        </w:rPr>
        <w:t>3</w:t>
      </w:r>
      <w:r w:rsidR="007B1C91">
        <w:rPr>
          <w:b/>
          <w:bCs/>
          <w:color w:val="auto"/>
          <w:sz w:val="24"/>
          <w:szCs w:val="24"/>
        </w:rPr>
        <w:t>5,</w:t>
      </w:r>
      <w:r w:rsidR="00BA0012">
        <w:rPr>
          <w:b/>
          <w:bCs/>
          <w:color w:val="auto"/>
          <w:sz w:val="24"/>
          <w:szCs w:val="24"/>
        </w:rPr>
        <w:t>51</w:t>
      </w:r>
      <w:r w:rsidR="007B1C91">
        <w:rPr>
          <w:b/>
          <w:bCs/>
          <w:color w:val="auto"/>
          <w:sz w:val="24"/>
          <w:szCs w:val="24"/>
        </w:rPr>
        <w:t>%</w:t>
      </w:r>
      <w:r w:rsidR="00BA0012">
        <w:rPr>
          <w:b/>
          <w:bCs/>
          <w:color w:val="auto"/>
          <w:sz w:val="24"/>
          <w:szCs w:val="24"/>
        </w:rPr>
        <w:t xml:space="preserve"> </w:t>
      </w:r>
      <w:r w:rsidR="00BA0012">
        <w:rPr>
          <w:color w:val="auto"/>
          <w:sz w:val="24"/>
          <w:szCs w:val="24"/>
        </w:rPr>
        <w:t xml:space="preserve">tot </w:t>
      </w:r>
      <w:r w:rsidR="00BC34CB">
        <w:rPr>
          <w:color w:val="auto"/>
          <w:sz w:val="24"/>
          <w:szCs w:val="24"/>
        </w:rPr>
        <w:t>41</w:t>
      </w:r>
      <w:r w:rsidR="00BA0012">
        <w:rPr>
          <w:color w:val="auto"/>
          <w:sz w:val="24"/>
          <w:szCs w:val="24"/>
        </w:rPr>
        <w:t>,</w:t>
      </w:r>
      <w:r w:rsidR="00BC34CB">
        <w:rPr>
          <w:color w:val="auto"/>
          <w:sz w:val="24"/>
          <w:szCs w:val="24"/>
        </w:rPr>
        <w:t>3</w:t>
      </w:r>
      <w:r w:rsidR="00BA0012">
        <w:rPr>
          <w:color w:val="auto"/>
          <w:sz w:val="24"/>
          <w:szCs w:val="24"/>
        </w:rPr>
        <w:t xml:space="preserve"> miljard euro</w:t>
      </w:r>
      <w:r w:rsidR="007B1C91">
        <w:rPr>
          <w:color w:val="auto"/>
          <w:sz w:val="24"/>
          <w:szCs w:val="24"/>
        </w:rPr>
        <w:t>.</w:t>
      </w:r>
      <w:r w:rsidR="007B1C91">
        <w:rPr>
          <w:color w:val="auto"/>
          <w:sz w:val="24"/>
          <w:szCs w:val="24"/>
        </w:rPr>
        <w:br/>
      </w:r>
      <w:r w:rsidR="007B1C91" w:rsidRPr="0040262D">
        <w:rPr>
          <w:color w:val="auto"/>
          <w:sz w:val="24"/>
          <w:szCs w:val="24"/>
        </w:rPr>
        <w:t>Daarnaast</w:t>
      </w:r>
      <w:r w:rsidR="00E93055" w:rsidRPr="0040262D">
        <w:rPr>
          <w:color w:val="auto"/>
          <w:sz w:val="24"/>
          <w:szCs w:val="24"/>
        </w:rPr>
        <w:t xml:space="preserve"> steeg</w:t>
      </w:r>
      <w:r w:rsidR="007B1C91" w:rsidRPr="0040262D">
        <w:rPr>
          <w:color w:val="auto"/>
          <w:sz w:val="24"/>
          <w:szCs w:val="24"/>
        </w:rPr>
        <w:t xml:space="preserve"> in mei de </w:t>
      </w:r>
      <w:r w:rsidR="007B1C91" w:rsidRPr="0040262D">
        <w:rPr>
          <w:b/>
          <w:bCs/>
          <w:color w:val="auto"/>
          <w:sz w:val="24"/>
          <w:szCs w:val="24"/>
        </w:rPr>
        <w:t>invoer</w:t>
      </w:r>
      <w:r w:rsidR="007B1C91" w:rsidRPr="0040262D">
        <w:rPr>
          <w:color w:val="auto"/>
          <w:sz w:val="24"/>
          <w:szCs w:val="24"/>
        </w:rPr>
        <w:t xml:space="preserve"> (</w:t>
      </w:r>
      <w:r w:rsidR="00AA1A8F" w:rsidRPr="0040262D">
        <w:rPr>
          <w:color w:val="auto"/>
          <w:sz w:val="24"/>
          <w:szCs w:val="24"/>
        </w:rPr>
        <w:t>41</w:t>
      </w:r>
      <w:r w:rsidR="007B1C91" w:rsidRPr="0040262D">
        <w:rPr>
          <w:color w:val="auto"/>
          <w:sz w:val="24"/>
          <w:szCs w:val="24"/>
        </w:rPr>
        <w:t>,</w:t>
      </w:r>
      <w:r w:rsidR="00AA1A8F" w:rsidRPr="0040262D">
        <w:rPr>
          <w:color w:val="auto"/>
          <w:sz w:val="24"/>
          <w:szCs w:val="24"/>
        </w:rPr>
        <w:t>8</w:t>
      </w:r>
      <w:r w:rsidR="007B1C91" w:rsidRPr="0040262D">
        <w:rPr>
          <w:color w:val="auto"/>
          <w:sz w:val="24"/>
          <w:szCs w:val="24"/>
        </w:rPr>
        <w:t xml:space="preserve"> miljard euro) </w:t>
      </w:r>
      <w:r w:rsidR="00E93055" w:rsidRPr="0040262D">
        <w:rPr>
          <w:color w:val="auto"/>
          <w:sz w:val="24"/>
          <w:szCs w:val="24"/>
        </w:rPr>
        <w:t xml:space="preserve">nog </w:t>
      </w:r>
      <w:r w:rsidR="007B1C91" w:rsidRPr="0040262D">
        <w:rPr>
          <w:color w:val="auto"/>
          <w:sz w:val="24"/>
          <w:szCs w:val="24"/>
        </w:rPr>
        <w:t>fel</w:t>
      </w:r>
      <w:r w:rsidR="00E93055" w:rsidRPr="0040262D">
        <w:rPr>
          <w:color w:val="auto"/>
          <w:sz w:val="24"/>
          <w:szCs w:val="24"/>
        </w:rPr>
        <w:t>ler</w:t>
      </w:r>
      <w:r w:rsidR="007B1C91" w:rsidRPr="0040262D">
        <w:rPr>
          <w:color w:val="auto"/>
          <w:sz w:val="24"/>
          <w:szCs w:val="24"/>
        </w:rPr>
        <w:t xml:space="preserve"> met </w:t>
      </w:r>
      <w:r w:rsidR="00E12A6A" w:rsidRPr="0040262D">
        <w:rPr>
          <w:b/>
          <w:bCs/>
          <w:color w:val="auto"/>
          <w:sz w:val="24"/>
          <w:szCs w:val="24"/>
        </w:rPr>
        <w:t>39</w:t>
      </w:r>
      <w:r w:rsidR="007B1C91" w:rsidRPr="0040262D">
        <w:rPr>
          <w:b/>
          <w:bCs/>
          <w:color w:val="auto"/>
          <w:sz w:val="24"/>
          <w:szCs w:val="24"/>
        </w:rPr>
        <w:t>,8</w:t>
      </w:r>
      <w:r w:rsidR="00E93055" w:rsidRPr="0040262D">
        <w:rPr>
          <w:b/>
          <w:bCs/>
          <w:color w:val="auto"/>
          <w:sz w:val="24"/>
          <w:szCs w:val="24"/>
        </w:rPr>
        <w:t>5</w:t>
      </w:r>
      <w:r w:rsidR="007B1C91" w:rsidRPr="0040262D">
        <w:rPr>
          <w:b/>
          <w:bCs/>
          <w:color w:val="auto"/>
          <w:sz w:val="24"/>
          <w:szCs w:val="24"/>
        </w:rPr>
        <w:t>%</w:t>
      </w:r>
      <w:r w:rsidR="007B1C91" w:rsidRPr="0040262D">
        <w:rPr>
          <w:color w:val="auto"/>
          <w:sz w:val="24"/>
          <w:szCs w:val="24"/>
        </w:rPr>
        <w:t xml:space="preserve"> stijging t.o.v. mei 202</w:t>
      </w:r>
      <w:r w:rsidR="00E93055" w:rsidRPr="0040262D">
        <w:rPr>
          <w:color w:val="auto"/>
          <w:sz w:val="24"/>
          <w:szCs w:val="24"/>
        </w:rPr>
        <w:t>1</w:t>
      </w:r>
      <w:r w:rsidR="007B1C91" w:rsidRPr="0040262D">
        <w:rPr>
          <w:color w:val="auto"/>
          <w:sz w:val="24"/>
          <w:szCs w:val="24"/>
        </w:rPr>
        <w:t xml:space="preserve"> (</w:t>
      </w:r>
      <w:r w:rsidR="0040262D" w:rsidRPr="0040262D">
        <w:rPr>
          <w:color w:val="auto"/>
          <w:sz w:val="24"/>
          <w:szCs w:val="24"/>
        </w:rPr>
        <w:t>29</w:t>
      </w:r>
      <w:r w:rsidR="007B1C91" w:rsidRPr="0040262D">
        <w:rPr>
          <w:color w:val="auto"/>
          <w:sz w:val="24"/>
          <w:szCs w:val="24"/>
        </w:rPr>
        <w:t>,</w:t>
      </w:r>
      <w:r w:rsidR="0040262D" w:rsidRPr="0040262D">
        <w:rPr>
          <w:color w:val="auto"/>
          <w:sz w:val="24"/>
          <w:szCs w:val="24"/>
        </w:rPr>
        <w:t>9</w:t>
      </w:r>
      <w:r w:rsidR="007B1C91" w:rsidRPr="0040262D">
        <w:rPr>
          <w:color w:val="auto"/>
          <w:sz w:val="24"/>
          <w:szCs w:val="24"/>
        </w:rPr>
        <w:t xml:space="preserve"> miljard euro). </w:t>
      </w:r>
    </w:p>
    <w:p w14:paraId="0E6ADDBC" w14:textId="6ACC7136" w:rsidR="00077D2B" w:rsidRDefault="007B1C91" w:rsidP="00A6075B">
      <w:pPr>
        <w:spacing w:before="240"/>
        <w:ind w:left="-5"/>
        <w:rPr>
          <w:color w:val="auto"/>
          <w:sz w:val="24"/>
          <w:szCs w:val="24"/>
        </w:rPr>
      </w:pPr>
      <w:r>
        <w:br/>
      </w:r>
      <w:r w:rsidR="0066216B">
        <w:rPr>
          <w:noProof/>
        </w:rPr>
        <w:drawing>
          <wp:inline distT="0" distB="0" distL="0" distR="0" wp14:anchorId="65612BD1" wp14:editId="165001AA">
            <wp:extent cx="6751320" cy="41536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56227" cy="4156636"/>
                    </a:xfrm>
                    <a:prstGeom prst="rect">
                      <a:avLst/>
                    </a:prstGeom>
                    <a:noFill/>
                    <a:ln>
                      <a:noFill/>
                    </a:ln>
                  </pic:spPr>
                </pic:pic>
              </a:graphicData>
            </a:graphic>
          </wp:inline>
        </w:drawing>
      </w:r>
    </w:p>
    <w:p w14:paraId="2B7F260E" w14:textId="77777777" w:rsidR="00A6075B" w:rsidRPr="00A6075B" w:rsidRDefault="00A6075B" w:rsidP="00A6075B">
      <w:pPr>
        <w:spacing w:before="240"/>
        <w:ind w:left="-5"/>
        <w:rPr>
          <w:color w:val="auto"/>
          <w:sz w:val="16"/>
          <w:szCs w:val="16"/>
        </w:rPr>
      </w:pPr>
    </w:p>
    <w:p w14:paraId="52E46AB7" w14:textId="77777777" w:rsidR="008C75CB" w:rsidRDefault="00077D2B" w:rsidP="008C75CB">
      <w:pPr>
        <w:autoSpaceDE w:val="0"/>
        <w:autoSpaceDN w:val="0"/>
        <w:adjustRightInd w:val="0"/>
        <w:spacing w:after="0" w:line="240" w:lineRule="auto"/>
        <w:ind w:left="0" w:firstLine="0"/>
        <w:jc w:val="center"/>
        <w:rPr>
          <w:rFonts w:eastAsia="Times New Roman" w:cs="Times New Roman"/>
          <w:i/>
          <w:iCs/>
          <w:sz w:val="18"/>
          <w:szCs w:val="18"/>
        </w:rPr>
      </w:pPr>
      <w:r>
        <w:rPr>
          <w:rFonts w:eastAsia="Times New Roman" w:cs="Times New Roman"/>
          <w:b/>
          <w:bCs/>
          <w:sz w:val="18"/>
          <w:szCs w:val="18"/>
        </w:rPr>
        <w:t>BRON:</w:t>
      </w:r>
      <w:r>
        <w:rPr>
          <w:rFonts w:eastAsia="Times New Roman" w:cs="Times New Roman"/>
          <w:sz w:val="18"/>
          <w:szCs w:val="18"/>
        </w:rPr>
        <w:t xml:space="preserve"> </w:t>
      </w:r>
      <w:r>
        <w:rPr>
          <w:rFonts w:eastAsia="Times New Roman" w:cs="Times New Roman"/>
          <w:sz w:val="18"/>
          <w:szCs w:val="18"/>
        </w:rPr>
        <w:tab/>
      </w:r>
      <w:r>
        <w:rPr>
          <w:rFonts w:eastAsia="Times New Roman" w:cs="Times New Roman"/>
          <w:i/>
          <w:iCs/>
          <w:sz w:val="18"/>
          <w:szCs w:val="18"/>
        </w:rPr>
        <w:t>Instituut voor de Nationale Rekeningen (NBB) Verwerking Cel Kennisbeheer Flanders Investment &amp; Trade</w:t>
      </w:r>
    </w:p>
    <w:p w14:paraId="6C9B5227" w14:textId="77777777" w:rsidR="00A6075B" w:rsidRPr="00A6075B" w:rsidRDefault="00A6075B" w:rsidP="008C75CB">
      <w:pPr>
        <w:autoSpaceDE w:val="0"/>
        <w:autoSpaceDN w:val="0"/>
        <w:adjustRightInd w:val="0"/>
        <w:spacing w:after="0" w:line="240" w:lineRule="auto"/>
        <w:ind w:left="0" w:firstLine="0"/>
        <w:jc w:val="center"/>
        <w:rPr>
          <w:color w:val="auto"/>
          <w:sz w:val="24"/>
          <w:szCs w:val="24"/>
        </w:rPr>
      </w:pPr>
    </w:p>
    <w:p w14:paraId="20895F61" w14:textId="36971704" w:rsidR="001B31D9" w:rsidRPr="008C75CB" w:rsidRDefault="007B1C91" w:rsidP="00A6075B">
      <w:pPr>
        <w:autoSpaceDE w:val="0"/>
        <w:autoSpaceDN w:val="0"/>
        <w:adjustRightInd w:val="0"/>
        <w:spacing w:after="0" w:line="240" w:lineRule="auto"/>
        <w:ind w:left="0" w:firstLine="0"/>
        <w:rPr>
          <w:color w:val="auto"/>
          <w:sz w:val="24"/>
          <w:szCs w:val="24"/>
        </w:rPr>
      </w:pPr>
      <w:r>
        <w:rPr>
          <w:color w:val="auto"/>
          <w:sz w:val="24"/>
          <w:szCs w:val="24"/>
        </w:rPr>
        <w:t xml:space="preserve">Cumuleren we </w:t>
      </w:r>
      <w:r w:rsidRPr="00A6075B">
        <w:rPr>
          <w:color w:val="auto"/>
          <w:sz w:val="24"/>
          <w:szCs w:val="24"/>
        </w:rPr>
        <w:t>de eerste vijf maanden</w:t>
      </w:r>
      <w:r>
        <w:rPr>
          <w:color w:val="auto"/>
          <w:sz w:val="24"/>
          <w:szCs w:val="24"/>
        </w:rPr>
        <w:t xml:space="preserve"> van </w:t>
      </w:r>
      <w:r w:rsidRPr="00A6075B">
        <w:rPr>
          <w:color w:val="auto"/>
          <w:sz w:val="24"/>
          <w:szCs w:val="24"/>
        </w:rPr>
        <w:t>202</w:t>
      </w:r>
      <w:r w:rsidR="004C7F07" w:rsidRPr="00A6075B">
        <w:rPr>
          <w:color w:val="auto"/>
          <w:sz w:val="24"/>
          <w:szCs w:val="24"/>
        </w:rPr>
        <w:t>2</w:t>
      </w:r>
      <w:r w:rsidRPr="00A6075B">
        <w:rPr>
          <w:color w:val="auto"/>
          <w:sz w:val="24"/>
          <w:szCs w:val="24"/>
        </w:rPr>
        <w:t xml:space="preserve">, dan oogt de situatie </w:t>
      </w:r>
      <w:r w:rsidR="004B5F73" w:rsidRPr="00A6075B">
        <w:rPr>
          <w:color w:val="auto"/>
          <w:sz w:val="24"/>
          <w:szCs w:val="24"/>
        </w:rPr>
        <w:t>nog steeds</w:t>
      </w:r>
      <w:r w:rsidR="00405A36">
        <w:rPr>
          <w:color w:val="auto"/>
          <w:sz w:val="24"/>
          <w:szCs w:val="24"/>
        </w:rPr>
        <w:t xml:space="preserve"> uiterst</w:t>
      </w:r>
      <w:r w:rsidRPr="00A6075B">
        <w:rPr>
          <w:color w:val="auto"/>
          <w:sz w:val="24"/>
          <w:szCs w:val="24"/>
        </w:rPr>
        <w:t xml:space="preserve"> positie</w:t>
      </w:r>
      <w:r w:rsidR="004B5F73" w:rsidRPr="00A6075B">
        <w:rPr>
          <w:color w:val="auto"/>
          <w:sz w:val="24"/>
          <w:szCs w:val="24"/>
        </w:rPr>
        <w:t>f</w:t>
      </w:r>
      <w:r w:rsidRPr="00A6075B">
        <w:rPr>
          <w:color w:val="auto"/>
          <w:sz w:val="24"/>
          <w:szCs w:val="24"/>
        </w:rPr>
        <w:t xml:space="preserve"> met 1</w:t>
      </w:r>
      <w:r w:rsidR="00244B98" w:rsidRPr="00A6075B">
        <w:rPr>
          <w:color w:val="auto"/>
          <w:sz w:val="24"/>
          <w:szCs w:val="24"/>
        </w:rPr>
        <w:t>92</w:t>
      </w:r>
      <w:r w:rsidRPr="00A6075B">
        <w:rPr>
          <w:color w:val="auto"/>
          <w:sz w:val="24"/>
          <w:szCs w:val="24"/>
        </w:rPr>
        <w:t>,</w:t>
      </w:r>
      <w:r w:rsidR="00244B98" w:rsidRPr="00A6075B">
        <w:rPr>
          <w:color w:val="auto"/>
          <w:sz w:val="24"/>
          <w:szCs w:val="24"/>
        </w:rPr>
        <w:t>2</w:t>
      </w:r>
      <w:r w:rsidRPr="00A6075B">
        <w:rPr>
          <w:color w:val="auto"/>
          <w:sz w:val="24"/>
          <w:szCs w:val="24"/>
        </w:rPr>
        <w:t xml:space="preserve"> miljard euro aan Vlaamse export, </w:t>
      </w:r>
      <w:r w:rsidR="00617623" w:rsidRPr="00A6075B">
        <w:rPr>
          <w:color w:val="auto"/>
          <w:sz w:val="24"/>
          <w:szCs w:val="24"/>
        </w:rPr>
        <w:t>47</w:t>
      </w:r>
      <w:r w:rsidRPr="00A6075B">
        <w:rPr>
          <w:color w:val="auto"/>
          <w:sz w:val="24"/>
          <w:szCs w:val="24"/>
        </w:rPr>
        <w:t>,</w:t>
      </w:r>
      <w:r w:rsidR="00617623" w:rsidRPr="00A6075B">
        <w:rPr>
          <w:color w:val="auto"/>
          <w:sz w:val="24"/>
          <w:szCs w:val="24"/>
        </w:rPr>
        <w:t>8</w:t>
      </w:r>
      <w:r w:rsidRPr="00A6075B">
        <w:rPr>
          <w:color w:val="auto"/>
          <w:sz w:val="24"/>
          <w:szCs w:val="24"/>
        </w:rPr>
        <w:t xml:space="preserve"> miljard euro meer of </w:t>
      </w:r>
      <w:r w:rsidR="007E7D2F" w:rsidRPr="00B44550">
        <w:rPr>
          <w:b/>
          <w:bCs/>
          <w:color w:val="auto"/>
          <w:sz w:val="24"/>
          <w:szCs w:val="24"/>
        </w:rPr>
        <w:t>33</w:t>
      </w:r>
      <w:r w:rsidRPr="00B44550">
        <w:rPr>
          <w:b/>
          <w:bCs/>
          <w:color w:val="auto"/>
          <w:sz w:val="24"/>
          <w:szCs w:val="24"/>
        </w:rPr>
        <w:t>,</w:t>
      </w:r>
      <w:r w:rsidR="007E7D2F" w:rsidRPr="00B44550">
        <w:rPr>
          <w:b/>
          <w:bCs/>
          <w:color w:val="auto"/>
          <w:sz w:val="24"/>
          <w:szCs w:val="24"/>
        </w:rPr>
        <w:t>1</w:t>
      </w:r>
      <w:r w:rsidRPr="00B44550">
        <w:rPr>
          <w:b/>
          <w:bCs/>
          <w:color w:val="auto"/>
          <w:sz w:val="24"/>
          <w:szCs w:val="24"/>
        </w:rPr>
        <w:t>%</w:t>
      </w:r>
      <w:r w:rsidRPr="00A6075B">
        <w:rPr>
          <w:color w:val="auto"/>
          <w:sz w:val="24"/>
          <w:szCs w:val="24"/>
        </w:rPr>
        <w:t xml:space="preserve"> hoger dan na 5 maanden in 202</w:t>
      </w:r>
      <w:r w:rsidR="007E7D2F" w:rsidRPr="00A6075B">
        <w:rPr>
          <w:color w:val="auto"/>
          <w:sz w:val="24"/>
          <w:szCs w:val="24"/>
        </w:rPr>
        <w:t>1</w:t>
      </w:r>
      <w:r w:rsidR="00D91427" w:rsidRPr="00A6075B">
        <w:rPr>
          <w:color w:val="auto"/>
          <w:sz w:val="24"/>
          <w:szCs w:val="24"/>
        </w:rPr>
        <w:t>.</w:t>
      </w:r>
      <w:r w:rsidRPr="00A6075B">
        <w:rPr>
          <w:color w:val="auto"/>
          <w:sz w:val="24"/>
          <w:szCs w:val="24"/>
        </w:rPr>
        <w:t xml:space="preserve"> Aan de invoerzijde waren 5 maanden import in 202</w:t>
      </w:r>
      <w:r w:rsidR="00BE24A9" w:rsidRPr="00A6075B">
        <w:rPr>
          <w:color w:val="auto"/>
          <w:sz w:val="24"/>
          <w:szCs w:val="24"/>
        </w:rPr>
        <w:t>2</w:t>
      </w:r>
      <w:r w:rsidRPr="00A6075B">
        <w:rPr>
          <w:color w:val="auto"/>
          <w:sz w:val="24"/>
          <w:szCs w:val="24"/>
        </w:rPr>
        <w:t xml:space="preserve"> goed voor 1</w:t>
      </w:r>
      <w:r w:rsidR="00A635CE" w:rsidRPr="00A6075B">
        <w:rPr>
          <w:color w:val="auto"/>
          <w:sz w:val="24"/>
          <w:szCs w:val="24"/>
        </w:rPr>
        <w:t>99</w:t>
      </w:r>
      <w:r w:rsidRPr="00A6075B">
        <w:rPr>
          <w:color w:val="auto"/>
          <w:sz w:val="24"/>
          <w:szCs w:val="24"/>
        </w:rPr>
        <w:t>,</w:t>
      </w:r>
      <w:r w:rsidR="00A635CE" w:rsidRPr="00A6075B">
        <w:rPr>
          <w:color w:val="auto"/>
          <w:sz w:val="24"/>
          <w:szCs w:val="24"/>
        </w:rPr>
        <w:t>0</w:t>
      </w:r>
      <w:r w:rsidRPr="00A6075B">
        <w:rPr>
          <w:color w:val="auto"/>
          <w:sz w:val="24"/>
          <w:szCs w:val="24"/>
        </w:rPr>
        <w:t xml:space="preserve"> miljard euro of </w:t>
      </w:r>
      <w:r w:rsidR="00A64D1D" w:rsidRPr="00B44550">
        <w:rPr>
          <w:b/>
          <w:bCs/>
          <w:color w:val="auto"/>
          <w:sz w:val="24"/>
          <w:szCs w:val="24"/>
        </w:rPr>
        <w:t>42</w:t>
      </w:r>
      <w:r w:rsidRPr="00B44550">
        <w:rPr>
          <w:b/>
          <w:bCs/>
          <w:color w:val="auto"/>
          <w:sz w:val="24"/>
          <w:szCs w:val="24"/>
        </w:rPr>
        <w:t>,3%</w:t>
      </w:r>
      <w:r w:rsidRPr="00A6075B">
        <w:rPr>
          <w:color w:val="auto"/>
          <w:sz w:val="24"/>
          <w:szCs w:val="24"/>
        </w:rPr>
        <w:t xml:space="preserve"> meer dan de 1</w:t>
      </w:r>
      <w:r w:rsidR="00A64D1D" w:rsidRPr="00A6075B">
        <w:rPr>
          <w:color w:val="auto"/>
          <w:sz w:val="24"/>
          <w:szCs w:val="24"/>
        </w:rPr>
        <w:t>39</w:t>
      </w:r>
      <w:r w:rsidRPr="00A6075B">
        <w:rPr>
          <w:color w:val="auto"/>
          <w:sz w:val="24"/>
          <w:szCs w:val="24"/>
        </w:rPr>
        <w:t>,</w:t>
      </w:r>
      <w:r w:rsidR="00A64D1D" w:rsidRPr="00A6075B">
        <w:rPr>
          <w:color w:val="auto"/>
          <w:sz w:val="24"/>
          <w:szCs w:val="24"/>
        </w:rPr>
        <w:t>8</w:t>
      </w:r>
      <w:r w:rsidRPr="00A6075B">
        <w:rPr>
          <w:color w:val="auto"/>
          <w:sz w:val="24"/>
          <w:szCs w:val="24"/>
        </w:rPr>
        <w:t xml:space="preserve"> miljard euro in de gelijknamige periode van 202</w:t>
      </w:r>
      <w:r w:rsidR="00BE24A9" w:rsidRPr="00A6075B">
        <w:rPr>
          <w:color w:val="auto"/>
          <w:sz w:val="24"/>
          <w:szCs w:val="24"/>
        </w:rPr>
        <w:t>1</w:t>
      </w:r>
      <w:r w:rsidRPr="00A6075B">
        <w:rPr>
          <w:color w:val="auto"/>
          <w:sz w:val="24"/>
          <w:szCs w:val="24"/>
        </w:rPr>
        <w:t>.</w:t>
      </w:r>
    </w:p>
    <w:p w14:paraId="20895F62" w14:textId="3B8D2F3D" w:rsidR="001B31D9" w:rsidRPr="00A6075B" w:rsidRDefault="007B1C91">
      <w:pPr>
        <w:rPr>
          <w:color w:val="auto"/>
          <w:sz w:val="24"/>
          <w:szCs w:val="24"/>
        </w:rPr>
      </w:pPr>
      <w:r w:rsidRPr="00A6075B">
        <w:rPr>
          <w:color w:val="auto"/>
          <w:sz w:val="24"/>
          <w:szCs w:val="24"/>
        </w:rPr>
        <w:br/>
        <w:t xml:space="preserve">Op basis van vijf maanden cijfers kunnen we </w:t>
      </w:r>
      <w:r w:rsidR="00DC2815" w:rsidRPr="00A6075B">
        <w:rPr>
          <w:color w:val="auto"/>
          <w:sz w:val="24"/>
          <w:szCs w:val="24"/>
        </w:rPr>
        <w:t>nog steeds</w:t>
      </w:r>
      <w:r w:rsidRPr="00A6075B">
        <w:rPr>
          <w:color w:val="auto"/>
          <w:sz w:val="24"/>
          <w:szCs w:val="24"/>
        </w:rPr>
        <w:t xml:space="preserve"> gewag maken van een positieve trend voor 202</w:t>
      </w:r>
      <w:r w:rsidR="00DC2815" w:rsidRPr="00A6075B">
        <w:rPr>
          <w:color w:val="auto"/>
          <w:sz w:val="24"/>
          <w:szCs w:val="24"/>
        </w:rPr>
        <w:t>2</w:t>
      </w:r>
      <w:r w:rsidRPr="00A6075B">
        <w:rPr>
          <w:color w:val="auto"/>
          <w:sz w:val="24"/>
          <w:szCs w:val="24"/>
        </w:rPr>
        <w:t>. De verwachte heropleving na de “coronaklappen” blij</w:t>
      </w:r>
      <w:r w:rsidR="00DC2815" w:rsidRPr="00A6075B">
        <w:rPr>
          <w:color w:val="auto"/>
          <w:sz w:val="24"/>
          <w:szCs w:val="24"/>
        </w:rPr>
        <w:t>f</w:t>
      </w:r>
      <w:r w:rsidRPr="00A6075B">
        <w:rPr>
          <w:color w:val="auto"/>
          <w:sz w:val="24"/>
          <w:szCs w:val="24"/>
        </w:rPr>
        <w:t xml:space="preserve">t </w:t>
      </w:r>
      <w:r w:rsidR="00105B09">
        <w:rPr>
          <w:color w:val="auto"/>
          <w:sz w:val="24"/>
          <w:szCs w:val="24"/>
        </w:rPr>
        <w:t xml:space="preserve">voorlopig </w:t>
      </w:r>
      <w:r w:rsidRPr="00A6075B">
        <w:rPr>
          <w:color w:val="auto"/>
          <w:sz w:val="24"/>
          <w:szCs w:val="24"/>
        </w:rPr>
        <w:t xml:space="preserve">dus effectief een feit. </w:t>
      </w:r>
      <w:r w:rsidR="00CE04BB">
        <w:rPr>
          <w:color w:val="auto"/>
          <w:sz w:val="24"/>
          <w:szCs w:val="24"/>
        </w:rPr>
        <w:t>D</w:t>
      </w:r>
      <w:r w:rsidR="00CE04BB" w:rsidRPr="00B25E7E">
        <w:rPr>
          <w:color w:val="auto"/>
          <w:sz w:val="24"/>
          <w:szCs w:val="24"/>
        </w:rPr>
        <w:t xml:space="preserve">e sterke </w:t>
      </w:r>
      <w:r w:rsidR="00CE04BB" w:rsidRPr="00B25E7E">
        <w:rPr>
          <w:color w:val="auto"/>
          <w:sz w:val="24"/>
          <w:szCs w:val="24"/>
        </w:rPr>
        <w:lastRenderedPageBreak/>
        <w:t xml:space="preserve">waardestijging van het goederenverkeer </w:t>
      </w:r>
      <w:r w:rsidR="007A4BE3">
        <w:rPr>
          <w:color w:val="auto"/>
          <w:sz w:val="24"/>
          <w:szCs w:val="24"/>
        </w:rPr>
        <w:t xml:space="preserve">heeft echter </w:t>
      </w:r>
      <w:r w:rsidR="00CE04BB" w:rsidRPr="00B25E7E">
        <w:rPr>
          <w:color w:val="auto"/>
          <w:sz w:val="24"/>
          <w:szCs w:val="24"/>
        </w:rPr>
        <w:t>almaar meer te maken met prijsontwikkelingen</w:t>
      </w:r>
      <w:r w:rsidR="007A4BE3">
        <w:rPr>
          <w:color w:val="auto"/>
          <w:sz w:val="24"/>
          <w:szCs w:val="24"/>
        </w:rPr>
        <w:t xml:space="preserve">. </w:t>
      </w:r>
      <w:r w:rsidR="00310648">
        <w:rPr>
          <w:color w:val="auto"/>
          <w:sz w:val="24"/>
          <w:szCs w:val="24"/>
        </w:rPr>
        <w:t xml:space="preserve">Dit is vooral het geval bij de sector van de </w:t>
      </w:r>
      <w:r w:rsidR="00472412">
        <w:rPr>
          <w:color w:val="auto"/>
          <w:sz w:val="24"/>
          <w:szCs w:val="24"/>
        </w:rPr>
        <w:t>minerale producten (aardolie, gas, etc.).</w:t>
      </w:r>
      <w:r w:rsidR="00E21982">
        <w:rPr>
          <w:color w:val="auto"/>
          <w:sz w:val="24"/>
          <w:szCs w:val="24"/>
        </w:rPr>
        <w:t xml:space="preserve"> Maar ook de </w:t>
      </w:r>
      <w:r w:rsidR="0017490F">
        <w:rPr>
          <w:color w:val="auto"/>
          <w:sz w:val="24"/>
          <w:szCs w:val="24"/>
        </w:rPr>
        <w:t xml:space="preserve">hoge uitvoer van covidvaccins blijft </w:t>
      </w:r>
      <w:r w:rsidR="005347CB">
        <w:rPr>
          <w:color w:val="auto"/>
          <w:sz w:val="24"/>
          <w:szCs w:val="24"/>
        </w:rPr>
        <w:t xml:space="preserve">voorlopig </w:t>
      </w:r>
      <w:r w:rsidR="00F07F16">
        <w:rPr>
          <w:color w:val="auto"/>
          <w:sz w:val="24"/>
          <w:szCs w:val="24"/>
        </w:rPr>
        <w:t xml:space="preserve">een bepalende factor bij </w:t>
      </w:r>
      <w:r w:rsidR="0017490F">
        <w:rPr>
          <w:color w:val="auto"/>
          <w:sz w:val="24"/>
          <w:szCs w:val="24"/>
        </w:rPr>
        <w:t>de</w:t>
      </w:r>
      <w:r w:rsidR="005347CB" w:rsidRPr="005347CB">
        <w:rPr>
          <w:color w:val="auto"/>
          <w:sz w:val="24"/>
          <w:szCs w:val="24"/>
        </w:rPr>
        <w:t xml:space="preserve"> </w:t>
      </w:r>
      <w:r w:rsidR="005347CB">
        <w:rPr>
          <w:color w:val="auto"/>
          <w:sz w:val="24"/>
          <w:szCs w:val="24"/>
        </w:rPr>
        <w:t>uitzonderlijk</w:t>
      </w:r>
      <w:r w:rsidR="005347CB">
        <w:rPr>
          <w:color w:val="auto"/>
          <w:sz w:val="24"/>
          <w:szCs w:val="24"/>
        </w:rPr>
        <w:t>e stijgingspercentages.</w:t>
      </w:r>
      <w:r w:rsidR="007C42C3">
        <w:rPr>
          <w:color w:val="auto"/>
          <w:sz w:val="24"/>
          <w:szCs w:val="24"/>
        </w:rPr>
        <w:t xml:space="preserve"> In die mate zelfs dat</w:t>
      </w:r>
      <w:r w:rsidR="00D441EA">
        <w:rPr>
          <w:color w:val="auto"/>
          <w:sz w:val="24"/>
          <w:szCs w:val="24"/>
        </w:rPr>
        <w:t>, volgens een VN-rapport,</w:t>
      </w:r>
      <w:r w:rsidR="007C42C3">
        <w:rPr>
          <w:color w:val="auto"/>
          <w:sz w:val="24"/>
          <w:szCs w:val="24"/>
        </w:rPr>
        <w:t xml:space="preserve"> enkel China </w:t>
      </w:r>
      <w:r w:rsidR="00E9459E">
        <w:rPr>
          <w:color w:val="auto"/>
          <w:sz w:val="24"/>
          <w:szCs w:val="24"/>
        </w:rPr>
        <w:t xml:space="preserve">nog betere </w:t>
      </w:r>
      <w:r w:rsidR="00A27A1A">
        <w:rPr>
          <w:color w:val="auto"/>
          <w:sz w:val="24"/>
          <w:szCs w:val="24"/>
        </w:rPr>
        <w:t>export</w:t>
      </w:r>
      <w:r w:rsidR="00E9459E">
        <w:rPr>
          <w:color w:val="auto"/>
          <w:sz w:val="24"/>
          <w:szCs w:val="24"/>
        </w:rPr>
        <w:t>cijfers kon voorleggen dan</w:t>
      </w:r>
      <w:r w:rsidR="00A27A1A">
        <w:rPr>
          <w:color w:val="auto"/>
          <w:sz w:val="24"/>
          <w:szCs w:val="24"/>
        </w:rPr>
        <w:t xml:space="preserve"> België/Vlaanderen</w:t>
      </w:r>
      <w:r w:rsidR="00921C38">
        <w:rPr>
          <w:color w:val="auto"/>
          <w:sz w:val="24"/>
          <w:szCs w:val="24"/>
        </w:rPr>
        <w:t xml:space="preserve"> tijdens de eerste maanden van 2022.</w:t>
      </w:r>
    </w:p>
    <w:p w14:paraId="6F24121A" w14:textId="77777777" w:rsidR="00817590" w:rsidRDefault="007B1C91">
      <w:pPr>
        <w:rPr>
          <w:color w:val="000000" w:themeColor="text1"/>
          <w:sz w:val="24"/>
          <w:szCs w:val="24"/>
        </w:rPr>
      </w:pPr>
      <w:r w:rsidRPr="004B5F73">
        <w:rPr>
          <w:color w:val="C00000"/>
        </w:rPr>
        <w:br/>
      </w:r>
    </w:p>
    <w:p w14:paraId="20895F63" w14:textId="6ACDAAF3" w:rsidR="001B31D9" w:rsidRPr="00E80EA7" w:rsidRDefault="007B1C91">
      <w:pPr>
        <w:rPr>
          <w:color w:val="auto"/>
          <w:sz w:val="24"/>
          <w:szCs w:val="24"/>
        </w:rPr>
      </w:pPr>
      <w:r w:rsidRPr="00DC2815">
        <w:rPr>
          <w:color w:val="000000" w:themeColor="text1"/>
          <w:sz w:val="24"/>
          <w:szCs w:val="24"/>
        </w:rPr>
        <w:t xml:space="preserve">Voor </w:t>
      </w:r>
      <w:r w:rsidRPr="00987452">
        <w:rPr>
          <w:b/>
          <w:bCs/>
          <w:color w:val="000000" w:themeColor="text1"/>
          <w:sz w:val="24"/>
          <w:szCs w:val="24"/>
        </w:rPr>
        <w:t>België</w:t>
      </w:r>
      <w:r w:rsidRPr="00DC2815">
        <w:rPr>
          <w:color w:val="000000" w:themeColor="text1"/>
          <w:sz w:val="24"/>
          <w:szCs w:val="24"/>
        </w:rPr>
        <w:t xml:space="preserve"> gaf de NBB in een </w:t>
      </w:r>
      <w:r w:rsidR="00AF2F19">
        <w:rPr>
          <w:color w:val="000000" w:themeColor="text1"/>
          <w:sz w:val="24"/>
          <w:szCs w:val="24"/>
        </w:rPr>
        <w:t xml:space="preserve">recent </w:t>
      </w:r>
      <w:r w:rsidRPr="00DC2815">
        <w:rPr>
          <w:color w:val="000000" w:themeColor="text1"/>
          <w:sz w:val="24"/>
          <w:szCs w:val="24"/>
        </w:rPr>
        <w:t xml:space="preserve">persbericht ook al </w:t>
      </w:r>
      <w:r w:rsidR="00581528">
        <w:rPr>
          <w:color w:val="000000" w:themeColor="text1"/>
          <w:sz w:val="24"/>
          <w:szCs w:val="24"/>
        </w:rPr>
        <w:t xml:space="preserve">een </w:t>
      </w:r>
      <w:r w:rsidRPr="00DC2815">
        <w:rPr>
          <w:color w:val="000000" w:themeColor="text1"/>
          <w:sz w:val="24"/>
          <w:szCs w:val="24"/>
        </w:rPr>
        <w:t>algemene voorlopige</w:t>
      </w:r>
      <w:r w:rsidR="00230672">
        <w:rPr>
          <w:color w:val="000000" w:themeColor="text1"/>
          <w:sz w:val="24"/>
          <w:szCs w:val="24"/>
        </w:rPr>
        <w:t xml:space="preserve"> </w:t>
      </w:r>
      <w:r w:rsidR="00230672" w:rsidRPr="00191E70">
        <w:rPr>
          <w:b/>
          <w:bCs/>
          <w:color w:val="000000" w:themeColor="text1"/>
          <w:sz w:val="24"/>
          <w:szCs w:val="24"/>
        </w:rPr>
        <w:t>Belgische</w:t>
      </w:r>
      <w:r w:rsidRPr="00191E70">
        <w:rPr>
          <w:b/>
          <w:bCs/>
          <w:color w:val="000000" w:themeColor="text1"/>
          <w:sz w:val="24"/>
          <w:szCs w:val="24"/>
        </w:rPr>
        <w:t xml:space="preserve"> raming voor juni 202</w:t>
      </w:r>
      <w:r w:rsidR="00DC2815" w:rsidRPr="00191E70">
        <w:rPr>
          <w:b/>
          <w:bCs/>
          <w:color w:val="000000" w:themeColor="text1"/>
          <w:sz w:val="24"/>
          <w:szCs w:val="24"/>
        </w:rPr>
        <w:t>2</w:t>
      </w:r>
      <w:r w:rsidRPr="00DC2815">
        <w:rPr>
          <w:color w:val="000000" w:themeColor="text1"/>
          <w:sz w:val="24"/>
          <w:szCs w:val="24"/>
        </w:rPr>
        <w:t xml:space="preserve"> vrij en</w:t>
      </w:r>
      <w:r w:rsidRPr="004B5F73">
        <w:rPr>
          <w:color w:val="C00000"/>
          <w:sz w:val="24"/>
          <w:szCs w:val="24"/>
        </w:rPr>
        <w:t xml:space="preserve"> </w:t>
      </w:r>
      <w:r w:rsidRPr="00E80EA7">
        <w:rPr>
          <w:color w:val="auto"/>
          <w:sz w:val="24"/>
          <w:szCs w:val="24"/>
        </w:rPr>
        <w:t xml:space="preserve">die </w:t>
      </w:r>
      <w:r w:rsidR="006A7BA7">
        <w:rPr>
          <w:color w:val="auto"/>
          <w:sz w:val="24"/>
          <w:szCs w:val="24"/>
        </w:rPr>
        <w:t>blijft</w:t>
      </w:r>
      <w:r w:rsidRPr="00E80EA7">
        <w:rPr>
          <w:color w:val="auto"/>
          <w:sz w:val="24"/>
          <w:szCs w:val="24"/>
        </w:rPr>
        <w:t xml:space="preserve"> in elk geval positief:</w:t>
      </w:r>
    </w:p>
    <w:p w14:paraId="540E8158" w14:textId="77777777" w:rsidR="00230672" w:rsidRDefault="00230672">
      <w:pPr>
        <w:spacing w:before="240"/>
        <w:ind w:left="-5"/>
        <w:rPr>
          <w:i/>
          <w:iCs/>
          <w:color w:val="000000" w:themeColor="text1"/>
          <w:sz w:val="24"/>
          <w:szCs w:val="24"/>
        </w:rPr>
      </w:pPr>
      <w:r w:rsidRPr="00230672">
        <w:rPr>
          <w:i/>
          <w:iCs/>
          <w:color w:val="000000" w:themeColor="text1"/>
          <w:sz w:val="24"/>
          <w:szCs w:val="24"/>
        </w:rPr>
        <w:t>“In juni 2022 groeiden de uitvoer (+22,7 %) en de invoer (+38,9 %) sterk in vergelijking met de overeenstemmende periode van 2021. Over de eerste jaarhelft nam de uitvoer toe met 34,5 % en de invoer met 41,3 %.”</w:t>
      </w:r>
    </w:p>
    <w:p w14:paraId="03BEEA7F" w14:textId="15D8C885" w:rsidR="00167F90" w:rsidRPr="00167F90" w:rsidRDefault="00167F90">
      <w:pPr>
        <w:spacing w:before="240"/>
        <w:ind w:left="-5"/>
        <w:rPr>
          <w:i/>
          <w:iCs/>
          <w:color w:val="000000" w:themeColor="text1"/>
          <w:sz w:val="24"/>
          <w:szCs w:val="24"/>
        </w:rPr>
      </w:pPr>
      <w:r w:rsidRPr="00167F90">
        <w:rPr>
          <w:i/>
          <w:iCs/>
          <w:color w:val="000000" w:themeColor="text1"/>
          <w:sz w:val="24"/>
          <w:szCs w:val="24"/>
        </w:rPr>
        <w:t>“De minerale producten en chemische producten staan in voor 80 % van de totale kwartaalgroei. De relatief hogere groeicijfers voor de invoer vergeleken met die voor de uitvoer zijn toe te schrijven aan de minerale producten. Zowel de in- als de uitvoer in deze branche stijgt al sinds maart 2021 zeer sterk in waarde, met uitzonderlijk hoge prijsstijgingen gedurende de meest recente maanden (hetgeen het vooral tot een prijs-effect maakt). Door hun relatief kleinere gewicht in de uitvoer vergeleken met de invoer is de bijdrage van deze producten aan de totale groei belangrijker voor de invoer, met dus een negatief effect op de handelsbalans. De in- en uitvoer van vervoermateriaal herstelde zich nog niet van de blijvende schaarste van onderdelen. De invoer uit Rusland nam toe omwille van de prijseffecten op aardolie en gas.”</w:t>
      </w:r>
    </w:p>
    <w:p w14:paraId="20895F65" w14:textId="15C15A7E" w:rsidR="001B31D9" w:rsidRPr="00CC4533" w:rsidRDefault="007B1C91">
      <w:pPr>
        <w:spacing w:before="240"/>
        <w:ind w:left="-5"/>
        <w:rPr>
          <w:color w:val="auto"/>
          <w:sz w:val="24"/>
          <w:szCs w:val="24"/>
        </w:rPr>
      </w:pPr>
      <w:r w:rsidRPr="00167F90">
        <w:rPr>
          <w:color w:val="auto"/>
          <w:sz w:val="24"/>
          <w:szCs w:val="24"/>
        </w:rPr>
        <w:t>Laten we ook voor de Vlaamse export even vergelijken met een onverdachte</w:t>
      </w:r>
      <w:r w:rsidRPr="00167F90">
        <w:rPr>
          <w:b/>
          <w:bCs/>
          <w:color w:val="auto"/>
          <w:sz w:val="24"/>
          <w:szCs w:val="24"/>
        </w:rPr>
        <w:t xml:space="preserve"> </w:t>
      </w:r>
      <w:r w:rsidRPr="00167F90">
        <w:rPr>
          <w:i/>
          <w:iCs/>
          <w:color w:val="auto"/>
          <w:sz w:val="24"/>
          <w:szCs w:val="24"/>
        </w:rPr>
        <w:t>pre-pandemie</w:t>
      </w:r>
      <w:r w:rsidRPr="00167F90">
        <w:rPr>
          <w:color w:val="auto"/>
          <w:sz w:val="24"/>
          <w:szCs w:val="24"/>
        </w:rPr>
        <w:t xml:space="preserve">periode als de </w:t>
      </w:r>
      <w:r w:rsidRPr="00167F90">
        <w:rPr>
          <w:b/>
          <w:bCs/>
          <w:color w:val="auto"/>
          <w:sz w:val="24"/>
          <w:szCs w:val="24"/>
        </w:rPr>
        <w:t>eerste 5 maanden van 2019</w:t>
      </w:r>
      <w:r w:rsidRPr="00167F90">
        <w:rPr>
          <w:color w:val="auto"/>
          <w:sz w:val="24"/>
          <w:szCs w:val="24"/>
        </w:rPr>
        <w:t>,</w:t>
      </w:r>
      <w:r w:rsidRPr="004B5F73">
        <w:rPr>
          <w:color w:val="C00000"/>
          <w:sz w:val="24"/>
          <w:szCs w:val="24"/>
        </w:rPr>
        <w:t xml:space="preserve"> </w:t>
      </w:r>
      <w:r w:rsidRPr="00167F90">
        <w:rPr>
          <w:color w:val="auto"/>
          <w:sz w:val="24"/>
          <w:szCs w:val="24"/>
        </w:rPr>
        <w:t xml:space="preserve">dan lag de tussentijdse uitvoer tot mei </w:t>
      </w:r>
      <w:r w:rsidRPr="003905FA">
        <w:rPr>
          <w:color w:val="auto"/>
          <w:sz w:val="24"/>
          <w:szCs w:val="24"/>
        </w:rPr>
        <w:t>202</w:t>
      </w:r>
      <w:r w:rsidR="00167F90" w:rsidRPr="003905FA">
        <w:rPr>
          <w:color w:val="auto"/>
          <w:sz w:val="24"/>
          <w:szCs w:val="24"/>
        </w:rPr>
        <w:t>2</w:t>
      </w:r>
      <w:r w:rsidRPr="003905FA">
        <w:rPr>
          <w:color w:val="auto"/>
          <w:sz w:val="24"/>
          <w:szCs w:val="24"/>
        </w:rPr>
        <w:t xml:space="preserve"> </w:t>
      </w:r>
      <w:r w:rsidR="00B927E0" w:rsidRPr="003905FA">
        <w:rPr>
          <w:color w:val="auto"/>
          <w:sz w:val="24"/>
          <w:szCs w:val="24"/>
        </w:rPr>
        <w:t>liefst</w:t>
      </w:r>
      <w:r w:rsidRPr="003905FA">
        <w:rPr>
          <w:color w:val="auto"/>
          <w:sz w:val="24"/>
          <w:szCs w:val="24"/>
        </w:rPr>
        <w:t xml:space="preserve"> </w:t>
      </w:r>
      <w:r w:rsidR="00B927E0" w:rsidRPr="003905FA">
        <w:rPr>
          <w:b/>
          <w:bCs/>
          <w:color w:val="auto"/>
          <w:sz w:val="24"/>
          <w:szCs w:val="24"/>
        </w:rPr>
        <w:t>38</w:t>
      </w:r>
      <w:r w:rsidRPr="003905FA">
        <w:rPr>
          <w:b/>
          <w:bCs/>
          <w:color w:val="auto"/>
          <w:sz w:val="24"/>
          <w:szCs w:val="24"/>
        </w:rPr>
        <w:t>% hoger</w:t>
      </w:r>
      <w:r w:rsidRPr="003905FA">
        <w:rPr>
          <w:color w:val="auto"/>
          <w:sz w:val="24"/>
          <w:szCs w:val="24"/>
        </w:rPr>
        <w:t xml:space="preserve"> en </w:t>
      </w:r>
      <w:r w:rsidR="003905FA">
        <w:rPr>
          <w:color w:val="auto"/>
          <w:sz w:val="24"/>
          <w:szCs w:val="24"/>
        </w:rPr>
        <w:t>steeg</w:t>
      </w:r>
      <w:r w:rsidRPr="003905FA">
        <w:rPr>
          <w:color w:val="auto"/>
          <w:sz w:val="24"/>
          <w:szCs w:val="24"/>
        </w:rPr>
        <w:t xml:space="preserve"> </w:t>
      </w:r>
      <w:r w:rsidRPr="00B44CEF">
        <w:rPr>
          <w:color w:val="auto"/>
          <w:sz w:val="24"/>
          <w:szCs w:val="24"/>
        </w:rPr>
        <w:t xml:space="preserve">de invoer zelfs </w:t>
      </w:r>
      <w:r w:rsidR="00B44CEF" w:rsidRPr="00B44CEF">
        <w:rPr>
          <w:color w:val="auto"/>
          <w:sz w:val="24"/>
          <w:szCs w:val="24"/>
        </w:rPr>
        <w:t>46,3</w:t>
      </w:r>
      <w:r w:rsidRPr="00B44CEF">
        <w:rPr>
          <w:color w:val="auto"/>
          <w:sz w:val="24"/>
          <w:szCs w:val="24"/>
        </w:rPr>
        <w:t>% b</w:t>
      </w:r>
      <w:r w:rsidR="00CC4533" w:rsidRPr="00B44CEF">
        <w:rPr>
          <w:color w:val="auto"/>
          <w:sz w:val="24"/>
          <w:szCs w:val="24"/>
        </w:rPr>
        <w:t>ov</w:t>
      </w:r>
      <w:r w:rsidRPr="00B44CEF">
        <w:rPr>
          <w:color w:val="auto"/>
          <w:sz w:val="24"/>
          <w:szCs w:val="24"/>
        </w:rPr>
        <w:t xml:space="preserve">en het </w:t>
      </w:r>
      <w:r w:rsidRPr="00CC4533">
        <w:rPr>
          <w:color w:val="auto"/>
          <w:sz w:val="24"/>
          <w:szCs w:val="24"/>
        </w:rPr>
        <w:t>peil van 2019.</w:t>
      </w:r>
    </w:p>
    <w:p w14:paraId="20895F66" w14:textId="77777777" w:rsidR="001B31D9" w:rsidRPr="004B5F73" w:rsidRDefault="001B31D9">
      <w:pPr>
        <w:ind w:left="-5"/>
        <w:rPr>
          <w:color w:val="C00000"/>
          <w:sz w:val="24"/>
          <w:szCs w:val="24"/>
        </w:rPr>
      </w:pPr>
    </w:p>
    <w:p w14:paraId="44088EE1" w14:textId="77777777" w:rsidR="00817590" w:rsidRDefault="00817590">
      <w:pPr>
        <w:ind w:left="-5"/>
        <w:rPr>
          <w:b/>
          <w:bCs/>
          <w:color w:val="auto"/>
          <w:sz w:val="24"/>
          <w:szCs w:val="24"/>
        </w:rPr>
      </w:pPr>
    </w:p>
    <w:p w14:paraId="218ED77E" w14:textId="55D769F4" w:rsidR="00156992" w:rsidRPr="00156992" w:rsidRDefault="00156992">
      <w:pPr>
        <w:ind w:left="-5"/>
        <w:rPr>
          <w:b/>
          <w:bCs/>
          <w:color w:val="auto"/>
          <w:sz w:val="24"/>
          <w:szCs w:val="24"/>
        </w:rPr>
      </w:pPr>
      <w:r w:rsidRPr="00156992">
        <w:rPr>
          <w:b/>
          <w:bCs/>
          <w:color w:val="auto"/>
          <w:sz w:val="24"/>
          <w:szCs w:val="24"/>
        </w:rPr>
        <w:t>Vaccins</w:t>
      </w:r>
    </w:p>
    <w:p w14:paraId="5F2D1ACA" w14:textId="77777777" w:rsidR="00156992" w:rsidRDefault="00156992">
      <w:pPr>
        <w:ind w:left="-5"/>
        <w:rPr>
          <w:color w:val="auto"/>
          <w:sz w:val="24"/>
          <w:szCs w:val="24"/>
        </w:rPr>
      </w:pPr>
    </w:p>
    <w:p w14:paraId="41B07698" w14:textId="13268C18" w:rsidR="00FB6B88" w:rsidRDefault="007B1C91">
      <w:pPr>
        <w:ind w:left="-5"/>
        <w:rPr>
          <w:color w:val="auto"/>
          <w:sz w:val="24"/>
          <w:szCs w:val="24"/>
        </w:rPr>
      </w:pPr>
      <w:r w:rsidRPr="00851A81">
        <w:rPr>
          <w:color w:val="auto"/>
          <w:sz w:val="24"/>
          <w:szCs w:val="24"/>
        </w:rPr>
        <w:t>Uiteraard blij</w:t>
      </w:r>
      <w:r w:rsidR="00156992">
        <w:rPr>
          <w:color w:val="auto"/>
          <w:sz w:val="24"/>
          <w:szCs w:val="24"/>
        </w:rPr>
        <w:t>ft</w:t>
      </w:r>
      <w:r w:rsidRPr="00851A81">
        <w:rPr>
          <w:color w:val="auto"/>
          <w:sz w:val="24"/>
          <w:szCs w:val="24"/>
        </w:rPr>
        <w:t xml:space="preserve"> </w:t>
      </w:r>
      <w:r w:rsidRPr="00851A81">
        <w:rPr>
          <w:b/>
          <w:bCs/>
          <w:color w:val="auto"/>
          <w:sz w:val="24"/>
          <w:szCs w:val="24"/>
        </w:rPr>
        <w:t>“</w:t>
      </w:r>
      <w:r w:rsidRPr="00851A81">
        <w:rPr>
          <w:b/>
          <w:bCs/>
          <w:i/>
          <w:iCs/>
          <w:color w:val="auto"/>
          <w:sz w:val="24"/>
          <w:szCs w:val="24"/>
        </w:rPr>
        <w:t>covid”</w:t>
      </w:r>
      <w:r w:rsidRPr="00851A81">
        <w:rPr>
          <w:color w:val="auto"/>
          <w:sz w:val="24"/>
          <w:szCs w:val="24"/>
        </w:rPr>
        <w:t xml:space="preserve"> </w:t>
      </w:r>
      <w:r w:rsidR="00156992">
        <w:rPr>
          <w:color w:val="auto"/>
          <w:sz w:val="24"/>
          <w:szCs w:val="24"/>
        </w:rPr>
        <w:t xml:space="preserve"> </w:t>
      </w:r>
      <w:r w:rsidRPr="00851A81">
        <w:rPr>
          <w:color w:val="auto"/>
          <w:sz w:val="24"/>
          <w:szCs w:val="24"/>
        </w:rPr>
        <w:t>doorheen 202</w:t>
      </w:r>
      <w:r w:rsidR="00851A81" w:rsidRPr="00851A81">
        <w:rPr>
          <w:color w:val="auto"/>
          <w:sz w:val="24"/>
          <w:szCs w:val="24"/>
        </w:rPr>
        <w:t>2</w:t>
      </w:r>
      <w:r w:rsidRPr="00851A81">
        <w:rPr>
          <w:color w:val="auto"/>
          <w:sz w:val="24"/>
          <w:szCs w:val="24"/>
        </w:rPr>
        <w:t xml:space="preserve"> allicht nog een tijdlang actueel. Ook tijdens de eerste vijf maanden was dat zo, alleen al doordat </w:t>
      </w:r>
      <w:r w:rsidRPr="00851A81">
        <w:rPr>
          <w:b/>
          <w:bCs/>
          <w:color w:val="auto"/>
          <w:sz w:val="24"/>
          <w:szCs w:val="24"/>
        </w:rPr>
        <w:t xml:space="preserve">vaccins </w:t>
      </w:r>
      <w:r w:rsidRPr="00851A81">
        <w:rPr>
          <w:color w:val="auto"/>
          <w:sz w:val="24"/>
          <w:szCs w:val="24"/>
        </w:rPr>
        <w:t>nog altijd</w:t>
      </w:r>
      <w:r w:rsidRPr="00851A81">
        <w:rPr>
          <w:b/>
          <w:bCs/>
          <w:color w:val="auto"/>
          <w:sz w:val="24"/>
          <w:szCs w:val="24"/>
        </w:rPr>
        <w:t xml:space="preserve"> </w:t>
      </w:r>
      <w:r w:rsidRPr="00851A81">
        <w:rPr>
          <w:color w:val="auto"/>
          <w:sz w:val="24"/>
          <w:szCs w:val="24"/>
        </w:rPr>
        <w:t>de hoogste regionen van de uitvoertabellen innemen: tot mei 202</w:t>
      </w:r>
      <w:r w:rsidR="00851A81" w:rsidRPr="00851A81">
        <w:rPr>
          <w:color w:val="auto"/>
          <w:sz w:val="24"/>
          <w:szCs w:val="24"/>
        </w:rPr>
        <w:t>2</w:t>
      </w:r>
      <w:r w:rsidRPr="00851A81">
        <w:rPr>
          <w:color w:val="auto"/>
          <w:sz w:val="24"/>
          <w:szCs w:val="24"/>
        </w:rPr>
        <w:t xml:space="preserve"> was de totale wereldwijde Vlaamse vaccinuitvoer al </w:t>
      </w:r>
      <w:r w:rsidRPr="00D45A29">
        <w:rPr>
          <w:color w:val="auto"/>
          <w:sz w:val="24"/>
          <w:szCs w:val="24"/>
        </w:rPr>
        <w:t xml:space="preserve">opgelopen tot </w:t>
      </w:r>
      <w:r w:rsidR="00D45A29" w:rsidRPr="00D45A29">
        <w:rPr>
          <w:color w:val="auto"/>
          <w:sz w:val="24"/>
          <w:szCs w:val="24"/>
        </w:rPr>
        <w:t>1</w:t>
      </w:r>
      <w:r w:rsidR="003E01D9">
        <w:rPr>
          <w:color w:val="auto"/>
          <w:sz w:val="24"/>
          <w:szCs w:val="24"/>
        </w:rPr>
        <w:t>3</w:t>
      </w:r>
      <w:r w:rsidRPr="00D45A29">
        <w:rPr>
          <w:color w:val="auto"/>
          <w:sz w:val="24"/>
          <w:szCs w:val="24"/>
        </w:rPr>
        <w:t>,</w:t>
      </w:r>
      <w:r w:rsidR="003E01D9">
        <w:rPr>
          <w:color w:val="auto"/>
          <w:sz w:val="24"/>
          <w:szCs w:val="24"/>
        </w:rPr>
        <w:t>6</w:t>
      </w:r>
      <w:r w:rsidRPr="00D45A29">
        <w:rPr>
          <w:color w:val="auto"/>
          <w:sz w:val="24"/>
          <w:szCs w:val="24"/>
        </w:rPr>
        <w:t xml:space="preserve"> miljard euro</w:t>
      </w:r>
      <w:r w:rsidR="00FB6B88">
        <w:rPr>
          <w:color w:val="auto"/>
          <w:sz w:val="24"/>
          <w:szCs w:val="24"/>
        </w:rPr>
        <w:t>.</w:t>
      </w:r>
    </w:p>
    <w:p w14:paraId="231310D5" w14:textId="77777777" w:rsidR="00FB6B88" w:rsidRDefault="00FB6B88">
      <w:pPr>
        <w:ind w:left="-5"/>
        <w:rPr>
          <w:color w:val="auto"/>
          <w:sz w:val="24"/>
          <w:szCs w:val="24"/>
        </w:rPr>
      </w:pPr>
    </w:p>
    <w:p w14:paraId="20895F67" w14:textId="0A31B4ED" w:rsidR="001B31D9" w:rsidRPr="004B5F73" w:rsidRDefault="007B1C91">
      <w:pPr>
        <w:ind w:left="-5"/>
        <w:rPr>
          <w:color w:val="C00000"/>
          <w:sz w:val="24"/>
          <w:szCs w:val="24"/>
        </w:rPr>
      </w:pPr>
      <w:r w:rsidRPr="00932FA9">
        <w:rPr>
          <w:color w:val="auto"/>
          <w:sz w:val="24"/>
          <w:szCs w:val="24"/>
        </w:rPr>
        <w:t xml:space="preserve">In amper 5 maanden tijd heeft Vlaanderen al voor </w:t>
      </w:r>
      <w:r w:rsidRPr="0076016B">
        <w:rPr>
          <w:color w:val="auto"/>
          <w:sz w:val="24"/>
          <w:szCs w:val="24"/>
        </w:rPr>
        <w:t xml:space="preserve">ruim </w:t>
      </w:r>
      <w:r w:rsidR="003E01D9" w:rsidRPr="0076016B">
        <w:rPr>
          <w:color w:val="auto"/>
          <w:sz w:val="24"/>
          <w:szCs w:val="24"/>
        </w:rPr>
        <w:t>11</w:t>
      </w:r>
      <w:r w:rsidRPr="0076016B">
        <w:rPr>
          <w:color w:val="auto"/>
          <w:sz w:val="24"/>
          <w:szCs w:val="24"/>
        </w:rPr>
        <w:t>,</w:t>
      </w:r>
      <w:r w:rsidR="003E01D9" w:rsidRPr="0076016B">
        <w:rPr>
          <w:color w:val="auto"/>
          <w:sz w:val="24"/>
          <w:szCs w:val="24"/>
        </w:rPr>
        <w:t>8</w:t>
      </w:r>
      <w:r w:rsidRPr="0076016B">
        <w:rPr>
          <w:color w:val="auto"/>
          <w:sz w:val="24"/>
          <w:szCs w:val="24"/>
        </w:rPr>
        <w:t xml:space="preserve"> miljard euro aan </w:t>
      </w:r>
      <w:r w:rsidRPr="00932FA9">
        <w:rPr>
          <w:i/>
          <w:iCs/>
          <w:color w:val="auto"/>
          <w:sz w:val="24"/>
          <w:szCs w:val="24"/>
        </w:rPr>
        <w:t>covidvaccins</w:t>
      </w:r>
      <w:r w:rsidRPr="00932FA9">
        <w:rPr>
          <w:color w:val="auto"/>
          <w:sz w:val="24"/>
          <w:szCs w:val="24"/>
        </w:rPr>
        <w:t xml:space="preserve"> geëxporteerd. Dat subtype was inmiddels al goed </w:t>
      </w:r>
      <w:r w:rsidRPr="00F2107F">
        <w:rPr>
          <w:color w:val="auto"/>
          <w:sz w:val="24"/>
          <w:szCs w:val="24"/>
        </w:rPr>
        <w:t>voor 8</w:t>
      </w:r>
      <w:r w:rsidR="00F2107F" w:rsidRPr="00F2107F">
        <w:rPr>
          <w:color w:val="auto"/>
          <w:sz w:val="24"/>
          <w:szCs w:val="24"/>
        </w:rPr>
        <w:t>6</w:t>
      </w:r>
      <w:r w:rsidRPr="00F2107F">
        <w:rPr>
          <w:color w:val="auto"/>
          <w:sz w:val="24"/>
          <w:szCs w:val="24"/>
        </w:rPr>
        <w:t xml:space="preserve">,5% van de totale tussentijdse Vlaamse vaccinuitvoer wereldwijd. </w:t>
      </w:r>
      <w:r w:rsidRPr="004B5F73">
        <w:rPr>
          <w:color w:val="C00000"/>
          <w:sz w:val="24"/>
          <w:szCs w:val="24"/>
        </w:rPr>
        <w:br/>
      </w:r>
    </w:p>
    <w:p w14:paraId="20895F68" w14:textId="1091327F" w:rsidR="001B31D9" w:rsidRDefault="007B1C91">
      <w:pPr>
        <w:ind w:left="-5"/>
        <w:rPr>
          <w:color w:val="FF0000"/>
          <w:sz w:val="24"/>
          <w:szCs w:val="24"/>
        </w:rPr>
      </w:pPr>
      <w:r w:rsidRPr="0025575B">
        <w:rPr>
          <w:color w:val="auto"/>
          <w:sz w:val="24"/>
          <w:szCs w:val="24"/>
        </w:rPr>
        <w:t>Met 1,</w:t>
      </w:r>
      <w:r w:rsidR="0025575B" w:rsidRPr="0025575B">
        <w:rPr>
          <w:color w:val="auto"/>
          <w:sz w:val="24"/>
          <w:szCs w:val="24"/>
        </w:rPr>
        <w:t>8</w:t>
      </w:r>
      <w:r w:rsidRPr="0025575B">
        <w:rPr>
          <w:color w:val="auto"/>
          <w:sz w:val="24"/>
          <w:szCs w:val="24"/>
        </w:rPr>
        <w:t xml:space="preserve"> miljard euro aan export</w:t>
      </w:r>
      <w:r w:rsidRPr="0025575B">
        <w:rPr>
          <w:rFonts w:ascii="Cambria" w:hAnsi="Cambria"/>
          <w:color w:val="auto"/>
          <w:sz w:val="24"/>
          <w:szCs w:val="24"/>
        </w:rPr>
        <w:t xml:space="preserve"> </w:t>
      </w:r>
      <w:r w:rsidRPr="0025575B">
        <w:rPr>
          <w:color w:val="auto"/>
          <w:sz w:val="24"/>
          <w:szCs w:val="24"/>
        </w:rPr>
        <w:t xml:space="preserve">bleven ook </w:t>
      </w:r>
      <w:r w:rsidRPr="0025575B">
        <w:rPr>
          <w:i/>
          <w:iCs/>
          <w:color w:val="auto"/>
          <w:sz w:val="24"/>
          <w:szCs w:val="24"/>
        </w:rPr>
        <w:t>niet-coronavaccins</w:t>
      </w:r>
      <w:r w:rsidRPr="0025575B">
        <w:rPr>
          <w:color w:val="auto"/>
          <w:sz w:val="24"/>
          <w:szCs w:val="24"/>
        </w:rPr>
        <w:t xml:space="preserve"> een exportpost van formaat, die nog altijd </w:t>
      </w:r>
      <w:r w:rsidRPr="00653300">
        <w:rPr>
          <w:color w:val="auto"/>
          <w:sz w:val="24"/>
          <w:szCs w:val="24"/>
        </w:rPr>
        <w:t>instond voor 1</w:t>
      </w:r>
      <w:r w:rsidR="00653300" w:rsidRPr="00653300">
        <w:rPr>
          <w:color w:val="auto"/>
          <w:sz w:val="24"/>
          <w:szCs w:val="24"/>
        </w:rPr>
        <w:t>3</w:t>
      </w:r>
      <w:r w:rsidRPr="00653300">
        <w:rPr>
          <w:color w:val="auto"/>
          <w:sz w:val="24"/>
          <w:szCs w:val="24"/>
        </w:rPr>
        <w:t>,</w:t>
      </w:r>
      <w:r w:rsidR="00653300" w:rsidRPr="00653300">
        <w:rPr>
          <w:color w:val="auto"/>
          <w:sz w:val="24"/>
          <w:szCs w:val="24"/>
        </w:rPr>
        <w:t>5</w:t>
      </w:r>
      <w:r w:rsidRPr="00653300">
        <w:rPr>
          <w:color w:val="auto"/>
          <w:sz w:val="24"/>
          <w:szCs w:val="24"/>
        </w:rPr>
        <w:t xml:space="preserve">% van de vaccinuitvoer </w:t>
      </w:r>
      <w:r w:rsidRPr="005E6B2B">
        <w:rPr>
          <w:color w:val="auto"/>
          <w:sz w:val="24"/>
          <w:szCs w:val="24"/>
        </w:rPr>
        <w:t>van januari tot mei 202</w:t>
      </w:r>
      <w:r w:rsidR="005E6B2B" w:rsidRPr="005E6B2B">
        <w:rPr>
          <w:color w:val="auto"/>
          <w:sz w:val="24"/>
          <w:szCs w:val="24"/>
        </w:rPr>
        <w:t>2</w:t>
      </w:r>
      <w:r w:rsidRPr="005E6B2B">
        <w:rPr>
          <w:color w:val="auto"/>
          <w:sz w:val="24"/>
          <w:szCs w:val="24"/>
        </w:rPr>
        <w:t xml:space="preserve">. </w:t>
      </w:r>
    </w:p>
    <w:p w14:paraId="20895F69" w14:textId="4BDC3553" w:rsidR="001B31D9" w:rsidRDefault="001B31D9">
      <w:pPr>
        <w:ind w:left="-5"/>
        <w:rPr>
          <w:color w:val="000000" w:themeColor="text1"/>
          <w:sz w:val="24"/>
          <w:szCs w:val="24"/>
        </w:rPr>
      </w:pPr>
    </w:p>
    <w:p w14:paraId="140CB453" w14:textId="77777777" w:rsidR="00817590" w:rsidRDefault="00817590">
      <w:pPr>
        <w:ind w:left="-5"/>
        <w:rPr>
          <w:b/>
          <w:bCs/>
          <w:color w:val="000000" w:themeColor="text1"/>
          <w:sz w:val="24"/>
          <w:szCs w:val="24"/>
        </w:rPr>
      </w:pPr>
    </w:p>
    <w:p w14:paraId="059E0219" w14:textId="175E3465" w:rsidR="00156992" w:rsidRPr="00156992" w:rsidRDefault="00156992">
      <w:pPr>
        <w:ind w:left="-5"/>
        <w:rPr>
          <w:b/>
          <w:bCs/>
          <w:color w:val="000000" w:themeColor="text1"/>
          <w:sz w:val="24"/>
          <w:szCs w:val="24"/>
        </w:rPr>
      </w:pPr>
      <w:r w:rsidRPr="00156992">
        <w:rPr>
          <w:b/>
          <w:bCs/>
          <w:color w:val="000000" w:themeColor="text1"/>
          <w:sz w:val="24"/>
          <w:szCs w:val="24"/>
        </w:rPr>
        <w:t>Brexit</w:t>
      </w:r>
    </w:p>
    <w:p w14:paraId="1F863D51" w14:textId="77777777" w:rsidR="00156992" w:rsidRPr="00156992" w:rsidRDefault="00156992">
      <w:pPr>
        <w:ind w:left="-5"/>
        <w:rPr>
          <w:color w:val="000000" w:themeColor="text1"/>
          <w:sz w:val="16"/>
          <w:szCs w:val="16"/>
        </w:rPr>
      </w:pPr>
    </w:p>
    <w:p w14:paraId="20895F6B" w14:textId="5C5E0452" w:rsidR="001B31D9" w:rsidRPr="00CD55BC" w:rsidRDefault="00F441AA" w:rsidP="41869A60">
      <w:pPr>
        <w:spacing w:before="120" w:line="240" w:lineRule="auto"/>
        <w:ind w:left="0" w:firstLine="0"/>
        <w:rPr>
          <w:color w:val="auto"/>
          <w:sz w:val="24"/>
          <w:szCs w:val="24"/>
        </w:rPr>
      </w:pPr>
      <w:r w:rsidRPr="00CD55BC">
        <w:rPr>
          <w:color w:val="auto"/>
          <w:sz w:val="24"/>
          <w:szCs w:val="24"/>
        </w:rPr>
        <w:t>D</w:t>
      </w:r>
      <w:r w:rsidR="007B1C91" w:rsidRPr="00CD55BC">
        <w:rPr>
          <w:color w:val="auto"/>
          <w:sz w:val="24"/>
          <w:szCs w:val="24"/>
        </w:rPr>
        <w:t>e handelscijfers met het</w:t>
      </w:r>
      <w:r w:rsidR="007B1C91" w:rsidRPr="00CD55BC">
        <w:rPr>
          <w:b/>
          <w:bCs/>
          <w:color w:val="auto"/>
          <w:sz w:val="24"/>
          <w:szCs w:val="24"/>
        </w:rPr>
        <w:t xml:space="preserve"> Verenigd Koninkrijk</w:t>
      </w:r>
      <w:r w:rsidR="007B1C91" w:rsidRPr="00CD55BC">
        <w:rPr>
          <w:color w:val="auto"/>
          <w:sz w:val="24"/>
          <w:szCs w:val="24"/>
        </w:rPr>
        <w:t xml:space="preserve"> </w:t>
      </w:r>
      <w:r w:rsidRPr="00CD55BC">
        <w:rPr>
          <w:color w:val="auto"/>
          <w:sz w:val="24"/>
          <w:szCs w:val="24"/>
        </w:rPr>
        <w:t xml:space="preserve">laten </w:t>
      </w:r>
      <w:r w:rsidR="007B1C91" w:rsidRPr="00CD55BC">
        <w:rPr>
          <w:color w:val="auto"/>
          <w:sz w:val="24"/>
          <w:szCs w:val="24"/>
        </w:rPr>
        <w:t xml:space="preserve">zich </w:t>
      </w:r>
      <w:r w:rsidR="005E2B61" w:rsidRPr="00CD55BC">
        <w:rPr>
          <w:color w:val="auto"/>
          <w:sz w:val="24"/>
          <w:szCs w:val="24"/>
        </w:rPr>
        <w:t>steeds</w:t>
      </w:r>
      <w:r w:rsidR="007B1C91" w:rsidRPr="00CD55BC">
        <w:rPr>
          <w:color w:val="auto"/>
          <w:sz w:val="24"/>
          <w:szCs w:val="24"/>
        </w:rPr>
        <w:t xml:space="preserve"> </w:t>
      </w:r>
      <w:r w:rsidR="005E2B61" w:rsidRPr="00CD55BC">
        <w:rPr>
          <w:color w:val="auto"/>
          <w:sz w:val="24"/>
          <w:szCs w:val="24"/>
        </w:rPr>
        <w:t>positiev</w:t>
      </w:r>
      <w:r w:rsidR="007B1C91" w:rsidRPr="00CD55BC">
        <w:rPr>
          <w:color w:val="auto"/>
          <w:sz w:val="24"/>
          <w:szCs w:val="24"/>
        </w:rPr>
        <w:t>er aanzien, want een exporttoename in april (+</w:t>
      </w:r>
      <w:r w:rsidR="0025125F" w:rsidRPr="00CD55BC">
        <w:rPr>
          <w:color w:val="auto"/>
          <w:sz w:val="24"/>
          <w:szCs w:val="24"/>
        </w:rPr>
        <w:t>18</w:t>
      </w:r>
      <w:r w:rsidR="007B1C91" w:rsidRPr="00CD55BC">
        <w:rPr>
          <w:color w:val="auto"/>
          <w:sz w:val="24"/>
          <w:szCs w:val="24"/>
        </w:rPr>
        <w:t>,</w:t>
      </w:r>
      <w:r w:rsidR="006802D9" w:rsidRPr="00CD55BC">
        <w:rPr>
          <w:color w:val="auto"/>
          <w:sz w:val="24"/>
          <w:szCs w:val="24"/>
        </w:rPr>
        <w:t>3</w:t>
      </w:r>
      <w:r w:rsidR="007B1C91" w:rsidRPr="00CD55BC">
        <w:rPr>
          <w:color w:val="auto"/>
          <w:sz w:val="24"/>
          <w:szCs w:val="24"/>
        </w:rPr>
        <w:t xml:space="preserve">%) kreeg in mei een vervolg, met een nóg steilere exportklim van </w:t>
      </w:r>
      <w:r w:rsidR="004D411E" w:rsidRPr="00CD55BC">
        <w:rPr>
          <w:color w:val="auto"/>
          <w:sz w:val="24"/>
          <w:szCs w:val="24"/>
        </w:rPr>
        <w:t>34</w:t>
      </w:r>
      <w:r w:rsidR="007B1C91" w:rsidRPr="00CD55BC">
        <w:rPr>
          <w:color w:val="auto"/>
          <w:sz w:val="24"/>
          <w:szCs w:val="24"/>
        </w:rPr>
        <w:t>,</w:t>
      </w:r>
      <w:r w:rsidR="004D411E" w:rsidRPr="00CD55BC">
        <w:rPr>
          <w:color w:val="auto"/>
          <w:sz w:val="24"/>
          <w:szCs w:val="24"/>
        </w:rPr>
        <w:t>7</w:t>
      </w:r>
      <w:r w:rsidR="007B1C91" w:rsidRPr="00CD55BC">
        <w:rPr>
          <w:color w:val="auto"/>
          <w:sz w:val="24"/>
          <w:szCs w:val="24"/>
        </w:rPr>
        <w:t xml:space="preserve">%. </w:t>
      </w:r>
    </w:p>
    <w:p w14:paraId="4FE93826" w14:textId="3BEA7DAB" w:rsidR="006C4F33" w:rsidRDefault="007B1C91">
      <w:pPr>
        <w:spacing w:line="240" w:lineRule="auto"/>
        <w:ind w:left="0" w:firstLine="0"/>
        <w:rPr>
          <w:color w:val="FF0000"/>
          <w:sz w:val="24"/>
          <w:szCs w:val="24"/>
        </w:rPr>
      </w:pPr>
      <w:r w:rsidRPr="006C4F33">
        <w:rPr>
          <w:color w:val="auto"/>
          <w:sz w:val="24"/>
          <w:szCs w:val="24"/>
        </w:rPr>
        <w:t>Die forse maandstijging bracht meteen ook mee dat Groot-Brittannië in de periode tot mei 202</w:t>
      </w:r>
      <w:r w:rsidR="003C67C6" w:rsidRPr="006C4F33">
        <w:rPr>
          <w:color w:val="auto"/>
          <w:sz w:val="24"/>
          <w:szCs w:val="24"/>
        </w:rPr>
        <w:t>2</w:t>
      </w:r>
      <w:r w:rsidRPr="006C4F33">
        <w:rPr>
          <w:color w:val="auto"/>
          <w:sz w:val="24"/>
          <w:szCs w:val="24"/>
        </w:rPr>
        <w:t xml:space="preserve"> </w:t>
      </w:r>
      <w:r w:rsidR="000A6142" w:rsidRPr="006C4F33">
        <w:rPr>
          <w:color w:val="auto"/>
          <w:sz w:val="24"/>
          <w:szCs w:val="24"/>
        </w:rPr>
        <w:t>een stijging liet noteren van 19,</w:t>
      </w:r>
      <w:r w:rsidR="006C4F33" w:rsidRPr="006C4F33">
        <w:rPr>
          <w:color w:val="auto"/>
          <w:sz w:val="24"/>
          <w:szCs w:val="24"/>
        </w:rPr>
        <w:t>6%.</w:t>
      </w:r>
      <w:r w:rsidRPr="006C4F33">
        <w:rPr>
          <w:color w:val="auto"/>
          <w:sz w:val="24"/>
          <w:szCs w:val="24"/>
        </w:rPr>
        <w:t xml:space="preserve"> </w:t>
      </w:r>
    </w:p>
    <w:p w14:paraId="56720BF0" w14:textId="77777777" w:rsidR="000A6F66" w:rsidRDefault="000A6F66" w:rsidP="000A6F66">
      <w:pPr>
        <w:ind w:left="-5"/>
        <w:rPr>
          <w:b/>
          <w:bCs/>
          <w:color w:val="000000" w:themeColor="text1"/>
          <w:sz w:val="24"/>
          <w:szCs w:val="24"/>
        </w:rPr>
      </w:pPr>
    </w:p>
    <w:p w14:paraId="1CE5342B" w14:textId="77777777" w:rsidR="00817590" w:rsidRDefault="00817590" w:rsidP="000A6F66">
      <w:pPr>
        <w:ind w:left="-5"/>
        <w:rPr>
          <w:b/>
          <w:bCs/>
          <w:color w:val="000000" w:themeColor="text1"/>
          <w:sz w:val="24"/>
          <w:szCs w:val="24"/>
        </w:rPr>
      </w:pPr>
    </w:p>
    <w:p w14:paraId="7B7DFA05" w14:textId="77777777" w:rsidR="00817590" w:rsidRDefault="00817590" w:rsidP="000A6F66">
      <w:pPr>
        <w:ind w:left="-5"/>
        <w:rPr>
          <w:b/>
          <w:bCs/>
          <w:color w:val="000000" w:themeColor="text1"/>
          <w:sz w:val="24"/>
          <w:szCs w:val="24"/>
        </w:rPr>
      </w:pPr>
    </w:p>
    <w:p w14:paraId="484BE153" w14:textId="200F06A0" w:rsidR="000A6F66" w:rsidRPr="000A6F66" w:rsidRDefault="000A6F66" w:rsidP="000A6F66">
      <w:pPr>
        <w:ind w:left="-5"/>
        <w:rPr>
          <w:b/>
          <w:bCs/>
          <w:color w:val="000000" w:themeColor="text1"/>
          <w:sz w:val="24"/>
          <w:szCs w:val="24"/>
        </w:rPr>
      </w:pPr>
      <w:r>
        <w:rPr>
          <w:b/>
          <w:bCs/>
          <w:color w:val="000000" w:themeColor="text1"/>
          <w:sz w:val="24"/>
          <w:szCs w:val="24"/>
        </w:rPr>
        <w:lastRenderedPageBreak/>
        <w:t>China</w:t>
      </w:r>
    </w:p>
    <w:p w14:paraId="7F6A65C6" w14:textId="41A5099F" w:rsidR="002D49F6" w:rsidRPr="00124F9C" w:rsidRDefault="00394EF7" w:rsidP="002D49F6">
      <w:pPr>
        <w:pStyle w:val="NormalWeb"/>
        <w:rPr>
          <w:rFonts w:ascii="FlandersArtSans-Regular" w:eastAsia="FlandersArtSans-Regular" w:hAnsi="FlandersArtSans-Regular" w:cs="FlandersArtSans-Regular"/>
          <w:sz w:val="24"/>
          <w:szCs w:val="24"/>
        </w:rPr>
      </w:pPr>
      <w:r w:rsidRPr="00124F9C">
        <w:rPr>
          <w:rFonts w:ascii="FlandersArtSans-Regular" w:eastAsia="FlandersArtSans-Regular" w:hAnsi="FlandersArtSans-Regular" w:cs="FlandersArtSans-Regular"/>
          <w:sz w:val="24"/>
          <w:szCs w:val="24"/>
        </w:rPr>
        <w:t>In de top</w:t>
      </w:r>
      <w:r w:rsidR="0086679C" w:rsidRPr="00124F9C">
        <w:rPr>
          <w:rFonts w:ascii="FlandersArtSans-Regular" w:eastAsia="FlandersArtSans-Regular" w:hAnsi="FlandersArtSans-Regular" w:cs="FlandersArtSans-Regular"/>
          <w:sz w:val="24"/>
          <w:szCs w:val="24"/>
        </w:rPr>
        <w:t xml:space="preserve">-20 van Vlaamse exportbestemmingen liet </w:t>
      </w:r>
      <w:r w:rsidRPr="00124F9C">
        <w:rPr>
          <w:rFonts w:ascii="FlandersArtSans-Regular" w:eastAsia="FlandersArtSans-Regular" w:hAnsi="FlandersArtSans-Regular" w:cs="FlandersArtSans-Regular"/>
          <w:sz w:val="24"/>
          <w:szCs w:val="24"/>
        </w:rPr>
        <w:t xml:space="preserve">enkel </w:t>
      </w:r>
      <w:r w:rsidRPr="00682CF1">
        <w:rPr>
          <w:rFonts w:ascii="FlandersArtSans-Regular" w:eastAsia="FlandersArtSans-Regular" w:hAnsi="FlandersArtSans-Regular" w:cs="FlandersArtSans-Regular"/>
          <w:b/>
          <w:bCs/>
          <w:sz w:val="24"/>
          <w:szCs w:val="24"/>
        </w:rPr>
        <w:t xml:space="preserve">China </w:t>
      </w:r>
      <w:r w:rsidR="0086679C" w:rsidRPr="00124F9C">
        <w:rPr>
          <w:rFonts w:ascii="FlandersArtSans-Regular" w:eastAsia="FlandersArtSans-Regular" w:hAnsi="FlandersArtSans-Regular" w:cs="FlandersArtSans-Regular"/>
          <w:sz w:val="24"/>
          <w:szCs w:val="24"/>
        </w:rPr>
        <w:t>negatieve cijfers noteren</w:t>
      </w:r>
      <w:r w:rsidR="0033208A" w:rsidRPr="00124F9C">
        <w:rPr>
          <w:rFonts w:ascii="FlandersArtSans-Regular" w:eastAsia="FlandersArtSans-Regular" w:hAnsi="FlandersArtSans-Regular" w:cs="FlandersArtSans-Regular"/>
          <w:sz w:val="24"/>
          <w:szCs w:val="24"/>
        </w:rPr>
        <w:t xml:space="preserve"> </w:t>
      </w:r>
      <w:r w:rsidR="00124F9C" w:rsidRPr="00124F9C">
        <w:rPr>
          <w:rFonts w:ascii="FlandersArtSans-Regular" w:eastAsia="FlandersArtSans-Regular" w:hAnsi="FlandersArtSans-Regular" w:cs="FlandersArtSans-Regular"/>
          <w:sz w:val="24"/>
          <w:szCs w:val="24"/>
        </w:rPr>
        <w:t>(-8,3%)</w:t>
      </w:r>
      <w:r w:rsidR="00564516" w:rsidRPr="00124F9C">
        <w:rPr>
          <w:rFonts w:ascii="FlandersArtSans-Regular" w:eastAsia="FlandersArtSans-Regular" w:hAnsi="FlandersArtSans-Regular" w:cs="FlandersArtSans-Regular"/>
          <w:sz w:val="24"/>
          <w:szCs w:val="24"/>
        </w:rPr>
        <w:t xml:space="preserve">. </w:t>
      </w:r>
      <w:r w:rsidR="00180723" w:rsidRPr="00124F9C">
        <w:rPr>
          <w:rFonts w:ascii="FlandersArtSans-Regular" w:eastAsia="FlandersArtSans-Regular" w:hAnsi="FlandersArtSans-Regular" w:cs="FlandersArtSans-Regular"/>
          <w:sz w:val="24"/>
          <w:szCs w:val="24"/>
        </w:rPr>
        <w:t xml:space="preserve">De Chinese </w:t>
      </w:r>
      <w:r w:rsidR="0033208A" w:rsidRPr="00124F9C">
        <w:rPr>
          <w:rFonts w:ascii="FlandersArtSans-Regular" w:eastAsia="FlandersArtSans-Regular" w:hAnsi="FlandersArtSans-Regular" w:cs="FlandersArtSans-Regular"/>
          <w:sz w:val="24"/>
          <w:szCs w:val="24"/>
        </w:rPr>
        <w:t xml:space="preserve">buitenlandse </w:t>
      </w:r>
      <w:r w:rsidR="00180723" w:rsidRPr="00124F9C">
        <w:rPr>
          <w:rFonts w:ascii="FlandersArtSans-Regular" w:eastAsia="FlandersArtSans-Regular" w:hAnsi="FlandersArtSans-Regular" w:cs="FlandersArtSans-Regular"/>
          <w:sz w:val="24"/>
          <w:szCs w:val="24"/>
        </w:rPr>
        <w:t>handel is</w:t>
      </w:r>
      <w:r w:rsidR="002748C4">
        <w:rPr>
          <w:rFonts w:ascii="FlandersArtSans-Regular" w:eastAsia="FlandersArtSans-Regular" w:hAnsi="FlandersArtSans-Regular" w:cs="FlandersArtSans-Regular"/>
          <w:sz w:val="24"/>
          <w:szCs w:val="24"/>
        </w:rPr>
        <w:t xml:space="preserve"> blijkbaar</w:t>
      </w:r>
      <w:r w:rsidR="00180723" w:rsidRPr="00124F9C">
        <w:rPr>
          <w:rFonts w:ascii="FlandersArtSans-Regular" w:eastAsia="FlandersArtSans-Regular" w:hAnsi="FlandersArtSans-Regular" w:cs="FlandersArtSans-Regular"/>
          <w:sz w:val="24"/>
          <w:szCs w:val="24"/>
        </w:rPr>
        <w:t xml:space="preserve"> </w:t>
      </w:r>
      <w:r w:rsidR="002D49F6" w:rsidRPr="00124F9C">
        <w:rPr>
          <w:rFonts w:ascii="FlandersArtSans-Regular" w:eastAsia="FlandersArtSans-Regular" w:hAnsi="FlandersArtSans-Regular" w:cs="FlandersArtSans-Regular"/>
          <w:sz w:val="24"/>
          <w:szCs w:val="24"/>
        </w:rPr>
        <w:t xml:space="preserve">meer dan verwacht afgenomen door een verzwakking van de wereldwijde vraag naar Chinese goederen en productieverstoringen als gevolg van de strenge coronamaatregelen in het land. Ook </w:t>
      </w:r>
      <w:r w:rsidR="00682CF1">
        <w:rPr>
          <w:rFonts w:ascii="FlandersArtSans-Regular" w:eastAsia="FlandersArtSans-Regular" w:hAnsi="FlandersArtSans-Regular" w:cs="FlandersArtSans-Regular"/>
          <w:sz w:val="24"/>
          <w:szCs w:val="24"/>
        </w:rPr>
        <w:t>hun</w:t>
      </w:r>
      <w:r w:rsidR="002D49F6" w:rsidRPr="00124F9C">
        <w:rPr>
          <w:rFonts w:ascii="FlandersArtSans-Regular" w:eastAsia="FlandersArtSans-Regular" w:hAnsi="FlandersArtSans-Regular" w:cs="FlandersArtSans-Regular"/>
          <w:sz w:val="24"/>
          <w:szCs w:val="24"/>
        </w:rPr>
        <w:t xml:space="preserve"> </w:t>
      </w:r>
      <w:r w:rsidR="002748C4">
        <w:rPr>
          <w:rFonts w:ascii="FlandersArtSans-Regular" w:eastAsia="FlandersArtSans-Regular" w:hAnsi="FlandersArtSans-Regular" w:cs="FlandersArtSans-Regular"/>
          <w:sz w:val="24"/>
          <w:szCs w:val="24"/>
        </w:rPr>
        <w:t xml:space="preserve">globale </w:t>
      </w:r>
      <w:r w:rsidR="002D49F6" w:rsidRPr="00124F9C">
        <w:rPr>
          <w:rFonts w:ascii="FlandersArtSans-Regular" w:eastAsia="FlandersArtSans-Regular" w:hAnsi="FlandersArtSans-Regular" w:cs="FlandersArtSans-Regular"/>
          <w:sz w:val="24"/>
          <w:szCs w:val="24"/>
        </w:rPr>
        <w:t>import groeide nauwelijks, wat wijst op een zwakke binnenlandse vraag.</w:t>
      </w:r>
    </w:p>
    <w:p w14:paraId="6746739C" w14:textId="77777777" w:rsidR="006C4F33" w:rsidRPr="002D49F6" w:rsidRDefault="006C4F33">
      <w:pPr>
        <w:spacing w:line="240" w:lineRule="auto"/>
        <w:ind w:left="0" w:firstLine="0"/>
        <w:rPr>
          <w:color w:val="FF0000"/>
          <w:sz w:val="24"/>
          <w:szCs w:val="24"/>
        </w:rPr>
      </w:pPr>
    </w:p>
    <w:p w14:paraId="20895F6E" w14:textId="4146B87F" w:rsidR="001B31D9" w:rsidRPr="007F6A0E" w:rsidRDefault="007B1C91" w:rsidP="00FA55B1">
      <w:pPr>
        <w:spacing w:line="240" w:lineRule="auto"/>
        <w:ind w:left="0" w:firstLine="0"/>
        <w:rPr>
          <w:color w:val="FF0000"/>
          <w:sz w:val="24"/>
          <w:szCs w:val="24"/>
        </w:rPr>
      </w:pPr>
      <w:r w:rsidRPr="006C4F33">
        <w:rPr>
          <w:color w:val="FF0000"/>
          <w:sz w:val="24"/>
          <w:szCs w:val="24"/>
        </w:rPr>
        <w:br/>
      </w:r>
    </w:p>
    <w:p w14:paraId="3EDF760E" w14:textId="2DA295E4" w:rsidR="008009C0" w:rsidRPr="008D37A7" w:rsidRDefault="00BC647B" w:rsidP="0030720A">
      <w:pPr>
        <w:ind w:left="-5"/>
        <w:rPr>
          <w:b/>
          <w:bCs/>
          <w:color w:val="auto"/>
          <w:sz w:val="24"/>
          <w:szCs w:val="24"/>
        </w:rPr>
      </w:pPr>
      <w:r>
        <w:rPr>
          <w:noProof/>
        </w:rPr>
        <w:drawing>
          <wp:inline distT="0" distB="0" distL="0" distR="0" wp14:anchorId="5229AD49" wp14:editId="56F1032D">
            <wp:extent cx="6645910" cy="6483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645910" cy="6483985"/>
                    </a:xfrm>
                    <a:prstGeom prst="rect">
                      <a:avLst/>
                    </a:prstGeom>
                    <a:noFill/>
                    <a:ln>
                      <a:noFill/>
                    </a:ln>
                  </pic:spPr>
                </pic:pic>
              </a:graphicData>
            </a:graphic>
          </wp:inline>
        </w:drawing>
      </w:r>
      <w:r w:rsidR="007B1C91">
        <w:rPr>
          <w:color w:val="000000" w:themeColor="text1"/>
          <w:sz w:val="24"/>
          <w:szCs w:val="24"/>
        </w:rPr>
        <w:br/>
      </w:r>
      <w:r w:rsidR="008009C0">
        <w:rPr>
          <w:b/>
          <w:bCs/>
          <w:color w:val="auto"/>
          <w:sz w:val="24"/>
          <w:szCs w:val="24"/>
        </w:rPr>
        <w:t>Crisis Oekraïne</w:t>
      </w:r>
      <w:r w:rsidR="001040E1" w:rsidRPr="008D37A7">
        <w:rPr>
          <w:color w:val="auto"/>
          <w:sz w:val="24"/>
          <w:szCs w:val="24"/>
        </w:rPr>
        <w:t>:</w:t>
      </w:r>
      <w:r w:rsidR="001040E1" w:rsidRPr="008D37A7">
        <w:rPr>
          <w:i/>
          <w:iCs/>
          <w:color w:val="auto"/>
          <w:sz w:val="24"/>
          <w:szCs w:val="24"/>
        </w:rPr>
        <w:t xml:space="preserve"> </w:t>
      </w:r>
      <w:r w:rsidR="001040E1" w:rsidRPr="008D37A7">
        <w:rPr>
          <w:b/>
          <w:bCs/>
          <w:color w:val="auto"/>
          <w:sz w:val="24"/>
          <w:szCs w:val="24"/>
        </w:rPr>
        <w:t>zeer duidelijk effect op de uitvoer naar de oorlogvoerende landen.</w:t>
      </w:r>
    </w:p>
    <w:p w14:paraId="2BCC6518" w14:textId="77777777" w:rsidR="0030720A" w:rsidRPr="0030720A" w:rsidRDefault="0030720A" w:rsidP="0030720A">
      <w:pPr>
        <w:ind w:left="-5"/>
        <w:rPr>
          <w:b/>
          <w:bCs/>
          <w:color w:val="000000" w:themeColor="text1"/>
          <w:sz w:val="24"/>
          <w:szCs w:val="24"/>
        </w:rPr>
      </w:pPr>
    </w:p>
    <w:p w14:paraId="02506BB9" w14:textId="350FEC0D" w:rsidR="008009C0" w:rsidRPr="004F0A63" w:rsidRDefault="008009C0" w:rsidP="008009C0">
      <w:pPr>
        <w:spacing w:after="240" w:line="259" w:lineRule="auto"/>
        <w:ind w:left="0" w:firstLine="0"/>
        <w:rPr>
          <w:color w:val="auto"/>
          <w:sz w:val="24"/>
          <w:szCs w:val="24"/>
        </w:rPr>
      </w:pPr>
      <w:r w:rsidRPr="00064CFF">
        <w:rPr>
          <w:color w:val="auto"/>
          <w:sz w:val="24"/>
          <w:szCs w:val="24"/>
        </w:rPr>
        <w:t xml:space="preserve">Nu ook de Vlaamse cijfers uit zijn voor mei 2022, kunnen we niet anders dan vaststellen dat uiteraard ook de Vlaamse uitvoer naar beide landen zeer sterk teruggevallen </w:t>
      </w:r>
      <w:r w:rsidRPr="00E80F83">
        <w:rPr>
          <w:color w:val="auto"/>
          <w:sz w:val="24"/>
          <w:szCs w:val="24"/>
        </w:rPr>
        <w:t xml:space="preserve">is: richting </w:t>
      </w:r>
      <w:r w:rsidRPr="00E80F83">
        <w:rPr>
          <w:b/>
          <w:bCs/>
          <w:color w:val="auto"/>
          <w:sz w:val="24"/>
          <w:szCs w:val="24"/>
        </w:rPr>
        <w:t>Oekraïne</w:t>
      </w:r>
      <w:r w:rsidRPr="00E80F83">
        <w:rPr>
          <w:color w:val="auto"/>
          <w:sz w:val="24"/>
          <w:szCs w:val="24"/>
        </w:rPr>
        <w:t xml:space="preserve"> werd de meiuitvoer ronduit gehalveerd (-49,5% tegenover 05/2021 met dalingen over heel de lijn</w:t>
      </w:r>
      <w:r>
        <w:rPr>
          <w:color w:val="auto"/>
          <w:sz w:val="24"/>
          <w:szCs w:val="24"/>
        </w:rPr>
        <w:t xml:space="preserve">, maar vooral </w:t>
      </w:r>
      <w:r>
        <w:rPr>
          <w:color w:val="auto"/>
          <w:sz w:val="24"/>
          <w:szCs w:val="24"/>
        </w:rPr>
        <w:lastRenderedPageBreak/>
        <w:t>bij machines en (landbouw)</w:t>
      </w:r>
      <w:r w:rsidRPr="004F0A63">
        <w:rPr>
          <w:color w:val="auto"/>
          <w:sz w:val="24"/>
          <w:szCs w:val="24"/>
        </w:rPr>
        <w:t>voertuigen). Over de eerste vijf maande</w:t>
      </w:r>
      <w:r>
        <w:rPr>
          <w:color w:val="auto"/>
          <w:sz w:val="24"/>
          <w:szCs w:val="24"/>
        </w:rPr>
        <w:t>n</w:t>
      </w:r>
      <w:r w:rsidRPr="004F0A63">
        <w:rPr>
          <w:color w:val="auto"/>
          <w:sz w:val="24"/>
          <w:szCs w:val="24"/>
        </w:rPr>
        <w:t xml:space="preserve">, bedroeg de exportkrimp naar Oekraïne daardoor ook 38,5%. </w:t>
      </w:r>
    </w:p>
    <w:p w14:paraId="128762B9" w14:textId="634650F1" w:rsidR="00814326" w:rsidRPr="002748C4" w:rsidRDefault="008009C0" w:rsidP="002748C4">
      <w:pPr>
        <w:spacing w:after="240" w:line="259" w:lineRule="auto"/>
        <w:ind w:left="0" w:firstLine="0"/>
        <w:rPr>
          <w:color w:val="FF0000"/>
          <w:sz w:val="24"/>
          <w:szCs w:val="24"/>
        </w:rPr>
      </w:pPr>
      <w:r w:rsidRPr="00D4511A">
        <w:rPr>
          <w:color w:val="auto"/>
          <w:sz w:val="24"/>
          <w:szCs w:val="24"/>
        </w:rPr>
        <w:t xml:space="preserve">In </w:t>
      </w:r>
      <w:r w:rsidRPr="00D4511A">
        <w:rPr>
          <w:b/>
          <w:bCs/>
          <w:color w:val="auto"/>
          <w:sz w:val="24"/>
          <w:szCs w:val="24"/>
        </w:rPr>
        <w:t>Rusland</w:t>
      </w:r>
      <w:r w:rsidRPr="00D4511A">
        <w:rPr>
          <w:color w:val="auto"/>
          <w:sz w:val="24"/>
          <w:szCs w:val="24"/>
        </w:rPr>
        <w:t xml:space="preserve"> zakte de afzet 28,5% in mei 2022. De terugloop was het grootst bij </w:t>
      </w:r>
      <w:r w:rsidRPr="00D4511A">
        <w:rPr>
          <w:i/>
          <w:iCs/>
          <w:color w:val="auto"/>
          <w:sz w:val="24"/>
          <w:szCs w:val="24"/>
        </w:rPr>
        <w:t xml:space="preserve">kunststoffen, organische chemie, machines/apparatuur </w:t>
      </w:r>
      <w:r w:rsidRPr="00D4511A">
        <w:rPr>
          <w:color w:val="auto"/>
          <w:sz w:val="24"/>
          <w:szCs w:val="24"/>
        </w:rPr>
        <w:t xml:space="preserve">en </w:t>
      </w:r>
      <w:r w:rsidRPr="00D4511A">
        <w:rPr>
          <w:i/>
          <w:iCs/>
          <w:color w:val="auto"/>
          <w:sz w:val="24"/>
          <w:szCs w:val="24"/>
        </w:rPr>
        <w:t>elektrische toestellen</w:t>
      </w:r>
      <w:r w:rsidRPr="00D4511A">
        <w:rPr>
          <w:color w:val="auto"/>
          <w:sz w:val="24"/>
          <w:szCs w:val="24"/>
        </w:rPr>
        <w:t xml:space="preserve">. </w:t>
      </w:r>
      <w:r w:rsidRPr="00D4511A">
        <w:rPr>
          <w:color w:val="auto"/>
        </w:rPr>
        <w:br/>
      </w:r>
      <w:r w:rsidRPr="004F0A63">
        <w:rPr>
          <w:color w:val="auto"/>
          <w:sz w:val="24"/>
          <w:szCs w:val="24"/>
        </w:rPr>
        <w:t xml:space="preserve">Over de eerste vijf </w:t>
      </w:r>
      <w:r w:rsidRPr="00244EE8">
        <w:rPr>
          <w:color w:val="auto"/>
          <w:sz w:val="24"/>
          <w:szCs w:val="24"/>
        </w:rPr>
        <w:t>maanden nam de Vlaamse uitvoer naar Rusland uiteindelijk gecumuleerd zo’n 10,7% af. Gezien het beperkte aandeel in de Vlaamse totaaluitvoer van zowel Rusland (24</w:t>
      </w:r>
      <w:r w:rsidRPr="00244EE8">
        <w:rPr>
          <w:color w:val="auto"/>
          <w:sz w:val="24"/>
          <w:szCs w:val="24"/>
          <w:vertAlign w:val="superscript"/>
        </w:rPr>
        <w:t>e</w:t>
      </w:r>
      <w:r w:rsidRPr="00244EE8">
        <w:rPr>
          <w:color w:val="auto"/>
          <w:sz w:val="24"/>
          <w:szCs w:val="24"/>
        </w:rPr>
        <w:t xml:space="preserve"> klant met </w:t>
      </w:r>
      <w:r w:rsidRPr="00D14D8F">
        <w:rPr>
          <w:color w:val="auto"/>
          <w:sz w:val="24"/>
          <w:szCs w:val="24"/>
        </w:rPr>
        <w:t>0,76% aandeel in de Vlaamse totaaluitvoer) als Oekraïne (76</w:t>
      </w:r>
      <w:r w:rsidRPr="00D14D8F">
        <w:rPr>
          <w:color w:val="auto"/>
          <w:sz w:val="24"/>
          <w:szCs w:val="24"/>
          <w:vertAlign w:val="superscript"/>
        </w:rPr>
        <w:t>e</w:t>
      </w:r>
      <w:r w:rsidRPr="00D14D8F">
        <w:rPr>
          <w:color w:val="auto"/>
          <w:sz w:val="24"/>
          <w:szCs w:val="24"/>
        </w:rPr>
        <w:t xml:space="preserve"> klant met 0,07% aandeel in de Vlaamse totaaluitvoer), </w:t>
      </w:r>
      <w:r w:rsidR="00C34AE3">
        <w:rPr>
          <w:color w:val="auto"/>
          <w:sz w:val="24"/>
          <w:szCs w:val="24"/>
        </w:rPr>
        <w:t>is er</w:t>
      </w:r>
      <w:r>
        <w:rPr>
          <w:color w:val="auto"/>
          <w:sz w:val="24"/>
          <w:szCs w:val="24"/>
        </w:rPr>
        <w:t xml:space="preserve"> voorlopig </w:t>
      </w:r>
      <w:r w:rsidRPr="00D14D8F">
        <w:rPr>
          <w:color w:val="auto"/>
          <w:sz w:val="24"/>
          <w:szCs w:val="24"/>
        </w:rPr>
        <w:t xml:space="preserve">geen </w:t>
      </w:r>
      <w:r w:rsidR="00C34AE3">
        <w:rPr>
          <w:color w:val="auto"/>
          <w:sz w:val="24"/>
          <w:szCs w:val="24"/>
        </w:rPr>
        <w:t xml:space="preserve">directe </w:t>
      </w:r>
      <w:r w:rsidRPr="00D14D8F">
        <w:rPr>
          <w:color w:val="auto"/>
          <w:sz w:val="24"/>
          <w:szCs w:val="24"/>
        </w:rPr>
        <w:t>ingrijpende impact op het globale exportverloop in 2022.</w:t>
      </w:r>
    </w:p>
    <w:p w14:paraId="5552EB53" w14:textId="5ECDDC9F" w:rsidR="00814326" w:rsidRDefault="00EA7F78" w:rsidP="002748C4">
      <w:pPr>
        <w:spacing w:before="240" w:after="0" w:line="240" w:lineRule="auto"/>
        <w:ind w:left="-142" w:firstLine="0"/>
        <w:jc w:val="center"/>
        <w:rPr>
          <w:rFonts w:eastAsia="Times New Roman" w:cs="Times New Roman"/>
          <w:b/>
          <w:bCs/>
          <w:color w:val="FF0000"/>
          <w:sz w:val="24"/>
          <w:szCs w:val="24"/>
        </w:rPr>
      </w:pPr>
      <w:r>
        <w:rPr>
          <w:noProof/>
        </w:rPr>
        <w:drawing>
          <wp:inline distT="0" distB="0" distL="0" distR="0" wp14:anchorId="14B9BFFD" wp14:editId="5564A267">
            <wp:extent cx="6419983" cy="3536107"/>
            <wp:effectExtent l="0" t="0" r="0" b="7620"/>
            <wp:docPr id="4" name="Chart 4">
              <a:extLst xmlns:a="http://schemas.openxmlformats.org/drawingml/2006/main">
                <a:ext uri="{FF2B5EF4-FFF2-40B4-BE49-F238E27FC236}">
                  <a16:creationId xmlns:a16="http://schemas.microsoft.com/office/drawing/2014/main" id="{25B49904-651C-461A-BC1F-8E4B7BCD8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579D92" w14:textId="77777777" w:rsidR="002748C4" w:rsidRDefault="002748C4" w:rsidP="002748C4">
      <w:pPr>
        <w:spacing w:before="240" w:after="0" w:line="240" w:lineRule="auto"/>
        <w:ind w:left="-142" w:firstLine="0"/>
        <w:jc w:val="center"/>
        <w:rPr>
          <w:rFonts w:eastAsia="Times New Roman" w:cs="Times New Roman"/>
          <w:b/>
          <w:bCs/>
          <w:color w:val="FF0000"/>
          <w:sz w:val="24"/>
          <w:szCs w:val="24"/>
        </w:rPr>
      </w:pPr>
    </w:p>
    <w:p w14:paraId="45FD9574" w14:textId="48E73A25" w:rsidR="00EA7F78" w:rsidRPr="00682CF1" w:rsidRDefault="00814326" w:rsidP="00814326">
      <w:pPr>
        <w:spacing w:before="240" w:after="0" w:line="240" w:lineRule="auto"/>
        <w:ind w:left="-142" w:firstLine="0"/>
        <w:jc w:val="center"/>
        <w:rPr>
          <w:rFonts w:eastAsia="Times New Roman" w:cs="Times New Roman"/>
          <w:b/>
          <w:bCs/>
          <w:color w:val="FF0000"/>
          <w:sz w:val="24"/>
          <w:szCs w:val="24"/>
        </w:rPr>
      </w:pPr>
      <w:r>
        <w:rPr>
          <w:noProof/>
        </w:rPr>
        <w:drawing>
          <wp:inline distT="0" distB="0" distL="0" distR="0" wp14:anchorId="69AE819E" wp14:editId="79ABFFAD">
            <wp:extent cx="6291722" cy="3561684"/>
            <wp:effectExtent l="0" t="0" r="0" b="1270"/>
            <wp:docPr id="5" name="Chart 5">
              <a:extLst xmlns:a="http://schemas.openxmlformats.org/drawingml/2006/main">
                <a:ext uri="{FF2B5EF4-FFF2-40B4-BE49-F238E27FC236}">
                  <a16:creationId xmlns:a16="http://schemas.microsoft.com/office/drawing/2014/main" id="{B2197187-3512-4AC9-BAE2-8AA614AC3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50A716" w14:textId="77777777" w:rsidR="00814326" w:rsidRDefault="00814326" w:rsidP="00131A4A">
      <w:pPr>
        <w:spacing w:after="0" w:line="240" w:lineRule="atLeast"/>
        <w:rPr>
          <w:b/>
          <w:bCs/>
          <w:color w:val="auto"/>
          <w:sz w:val="24"/>
          <w:szCs w:val="24"/>
        </w:rPr>
      </w:pPr>
    </w:p>
    <w:p w14:paraId="332F6F32" w14:textId="77777777" w:rsidR="00814326" w:rsidRDefault="00814326" w:rsidP="00131A4A">
      <w:pPr>
        <w:spacing w:after="0" w:line="240" w:lineRule="atLeast"/>
        <w:rPr>
          <w:b/>
          <w:bCs/>
          <w:color w:val="auto"/>
          <w:sz w:val="24"/>
          <w:szCs w:val="24"/>
        </w:rPr>
      </w:pPr>
    </w:p>
    <w:p w14:paraId="5855DF3B" w14:textId="5226BD0D" w:rsidR="002B5057" w:rsidRPr="00EB551D" w:rsidRDefault="002B5057" w:rsidP="00131A4A">
      <w:pPr>
        <w:spacing w:after="0" w:line="240" w:lineRule="atLeast"/>
        <w:rPr>
          <w:color w:val="auto"/>
          <w:sz w:val="24"/>
          <w:szCs w:val="24"/>
        </w:rPr>
      </w:pPr>
      <w:r w:rsidRPr="00EB551D">
        <w:rPr>
          <w:b/>
          <w:bCs/>
          <w:color w:val="auto"/>
          <w:sz w:val="24"/>
          <w:szCs w:val="24"/>
        </w:rPr>
        <w:t xml:space="preserve">Hoe onze EU-concurrenten exportgewijs presteerden </w:t>
      </w:r>
      <w:r w:rsidR="004A0FDF" w:rsidRPr="00EB551D">
        <w:rPr>
          <w:b/>
          <w:bCs/>
          <w:color w:val="auto"/>
          <w:sz w:val="24"/>
          <w:szCs w:val="24"/>
        </w:rPr>
        <w:t xml:space="preserve">tijdens de eerste </w:t>
      </w:r>
      <w:r w:rsidR="00EB551D" w:rsidRPr="00EB551D">
        <w:rPr>
          <w:b/>
          <w:bCs/>
          <w:color w:val="auto"/>
          <w:sz w:val="24"/>
          <w:szCs w:val="24"/>
        </w:rPr>
        <w:t xml:space="preserve">vijf maanden van </w:t>
      </w:r>
      <w:r w:rsidRPr="00EB551D">
        <w:rPr>
          <w:b/>
          <w:bCs/>
          <w:color w:val="auto"/>
          <w:sz w:val="24"/>
          <w:szCs w:val="24"/>
        </w:rPr>
        <w:t>2022</w:t>
      </w:r>
    </w:p>
    <w:p w14:paraId="7161CD4C" w14:textId="48FF4FF7" w:rsidR="002B5057" w:rsidRPr="00203EF8" w:rsidRDefault="002B5057" w:rsidP="00D94DCE">
      <w:pPr>
        <w:spacing w:before="120" w:after="0" w:line="240" w:lineRule="atLeast"/>
        <w:ind w:left="0" w:firstLine="0"/>
        <w:rPr>
          <w:color w:val="auto"/>
          <w:sz w:val="24"/>
          <w:szCs w:val="24"/>
        </w:rPr>
      </w:pPr>
      <w:r w:rsidRPr="007C0BF1">
        <w:rPr>
          <w:color w:val="auto"/>
          <w:sz w:val="24"/>
          <w:szCs w:val="24"/>
        </w:rPr>
        <w:t xml:space="preserve">Ook elders in de EU blijft de </w:t>
      </w:r>
      <w:r w:rsidR="007C0BF1" w:rsidRPr="007C0BF1">
        <w:rPr>
          <w:color w:val="auto"/>
          <w:sz w:val="24"/>
          <w:szCs w:val="24"/>
        </w:rPr>
        <w:t xml:space="preserve">uitvoer in </w:t>
      </w:r>
      <w:r w:rsidRPr="007C0BF1">
        <w:rPr>
          <w:color w:val="auto"/>
          <w:sz w:val="24"/>
          <w:szCs w:val="24"/>
        </w:rPr>
        <w:t>2022 nog altijd behoorlijk vooruitgaan (+2</w:t>
      </w:r>
      <w:r w:rsidR="007C0BF1" w:rsidRPr="007C0BF1">
        <w:rPr>
          <w:color w:val="auto"/>
          <w:sz w:val="24"/>
          <w:szCs w:val="24"/>
        </w:rPr>
        <w:t>5</w:t>
      </w:r>
      <w:r w:rsidRPr="007C0BF1">
        <w:rPr>
          <w:color w:val="auto"/>
          <w:sz w:val="24"/>
          <w:szCs w:val="24"/>
        </w:rPr>
        <w:t>,</w:t>
      </w:r>
      <w:r w:rsidR="007C0BF1" w:rsidRPr="007C0BF1">
        <w:rPr>
          <w:color w:val="auto"/>
          <w:sz w:val="24"/>
          <w:szCs w:val="24"/>
        </w:rPr>
        <w:t>6</w:t>
      </w:r>
      <w:r w:rsidRPr="007C0BF1">
        <w:rPr>
          <w:color w:val="auto"/>
          <w:sz w:val="24"/>
          <w:szCs w:val="24"/>
        </w:rPr>
        <w:t>% gemiddeld over alle EU-exporteurs heen).</w:t>
      </w:r>
      <w:r w:rsidRPr="007C0BF1">
        <w:rPr>
          <w:color w:val="auto"/>
        </w:rPr>
        <w:br/>
      </w:r>
      <w:r w:rsidRPr="007C0BF1">
        <w:rPr>
          <w:color w:val="auto"/>
          <w:sz w:val="24"/>
          <w:szCs w:val="24"/>
        </w:rPr>
        <w:t>Met de 3</w:t>
      </w:r>
      <w:r w:rsidR="007C0BF1" w:rsidRPr="007C0BF1">
        <w:rPr>
          <w:color w:val="auto"/>
          <w:sz w:val="24"/>
          <w:szCs w:val="24"/>
        </w:rPr>
        <w:t>3</w:t>
      </w:r>
      <w:r w:rsidRPr="007C0BF1">
        <w:rPr>
          <w:color w:val="auto"/>
          <w:sz w:val="24"/>
          <w:szCs w:val="24"/>
        </w:rPr>
        <w:t>,</w:t>
      </w:r>
      <w:r w:rsidR="007C0BF1" w:rsidRPr="007C0BF1">
        <w:rPr>
          <w:color w:val="auto"/>
          <w:sz w:val="24"/>
          <w:szCs w:val="24"/>
        </w:rPr>
        <w:t>1</w:t>
      </w:r>
      <w:r w:rsidRPr="007C0BF1">
        <w:rPr>
          <w:color w:val="auto"/>
          <w:sz w:val="24"/>
          <w:szCs w:val="24"/>
        </w:rPr>
        <w:t xml:space="preserve">% exporttoename die het </w:t>
      </w:r>
      <w:r w:rsidR="007C0BF1" w:rsidRPr="007C0BF1">
        <w:rPr>
          <w:color w:val="auto"/>
          <w:sz w:val="24"/>
          <w:szCs w:val="24"/>
        </w:rPr>
        <w:t>tijdens betrokken periode</w:t>
      </w:r>
      <w:r w:rsidRPr="007C0BF1">
        <w:rPr>
          <w:color w:val="auto"/>
          <w:sz w:val="24"/>
          <w:szCs w:val="24"/>
        </w:rPr>
        <w:t xml:space="preserve"> liet optekenen, doorstaat Vlaanderen met glans de vergelijking met zijn eerstelijnsconcurrenten, want het presteerde </w:t>
      </w:r>
      <w:r w:rsidR="007C0BF1" w:rsidRPr="007C0BF1">
        <w:rPr>
          <w:color w:val="auto"/>
          <w:sz w:val="24"/>
          <w:szCs w:val="24"/>
        </w:rPr>
        <w:t>dus</w:t>
      </w:r>
      <w:r w:rsidRPr="007C0BF1">
        <w:rPr>
          <w:color w:val="auto"/>
          <w:sz w:val="24"/>
          <w:szCs w:val="24"/>
        </w:rPr>
        <w:t xml:space="preserve"> beter dan het gemiddelde van de globale EU-uitvoer. </w:t>
      </w:r>
      <w:r w:rsidRPr="002B5057">
        <w:rPr>
          <w:color w:val="FF0000"/>
        </w:rPr>
        <w:br/>
      </w:r>
      <w:r w:rsidRPr="00203EF8">
        <w:rPr>
          <w:color w:val="auto"/>
          <w:sz w:val="24"/>
          <w:szCs w:val="24"/>
        </w:rPr>
        <w:t>Qua exportverloop lag het vóór op tal van andere EU-exporteurs, en niet de minste: Duitsland (+1</w:t>
      </w:r>
      <w:r w:rsidR="00203EF8" w:rsidRPr="00203EF8">
        <w:rPr>
          <w:color w:val="auto"/>
          <w:sz w:val="24"/>
          <w:szCs w:val="24"/>
        </w:rPr>
        <w:t>2</w:t>
      </w:r>
      <w:r w:rsidRPr="00203EF8">
        <w:rPr>
          <w:color w:val="auto"/>
          <w:sz w:val="24"/>
          <w:szCs w:val="24"/>
        </w:rPr>
        <w:t>,</w:t>
      </w:r>
      <w:r w:rsidR="00203EF8" w:rsidRPr="00203EF8">
        <w:rPr>
          <w:color w:val="auto"/>
          <w:sz w:val="24"/>
          <w:szCs w:val="24"/>
        </w:rPr>
        <w:t>6</w:t>
      </w:r>
      <w:r w:rsidRPr="00203EF8">
        <w:rPr>
          <w:color w:val="auto"/>
          <w:sz w:val="24"/>
          <w:szCs w:val="24"/>
        </w:rPr>
        <w:t xml:space="preserve">%), Nederland, dat </w:t>
      </w:r>
      <w:r w:rsidR="00203EF8" w:rsidRPr="00203EF8">
        <w:rPr>
          <w:color w:val="auto"/>
          <w:sz w:val="24"/>
          <w:szCs w:val="24"/>
        </w:rPr>
        <w:t>30</w:t>
      </w:r>
      <w:r w:rsidRPr="00203EF8">
        <w:rPr>
          <w:color w:val="auto"/>
          <w:sz w:val="24"/>
          <w:szCs w:val="24"/>
        </w:rPr>
        <w:t>,</w:t>
      </w:r>
      <w:r w:rsidR="00203EF8" w:rsidRPr="00203EF8">
        <w:rPr>
          <w:color w:val="auto"/>
          <w:sz w:val="24"/>
          <w:szCs w:val="24"/>
        </w:rPr>
        <w:t>5</w:t>
      </w:r>
      <w:r w:rsidRPr="00203EF8">
        <w:rPr>
          <w:color w:val="auto"/>
          <w:sz w:val="24"/>
          <w:szCs w:val="24"/>
        </w:rPr>
        <w:t>% exportgroei haalde, Italië (22,</w:t>
      </w:r>
      <w:r w:rsidR="00203EF8" w:rsidRPr="00203EF8">
        <w:rPr>
          <w:color w:val="auto"/>
          <w:sz w:val="24"/>
          <w:szCs w:val="24"/>
        </w:rPr>
        <w:t>7</w:t>
      </w:r>
      <w:r w:rsidRPr="00203EF8">
        <w:rPr>
          <w:color w:val="auto"/>
          <w:sz w:val="24"/>
          <w:szCs w:val="24"/>
        </w:rPr>
        <w:t>%), Frankrijk (+20</w:t>
      </w:r>
      <w:r w:rsidR="00203EF8" w:rsidRPr="00203EF8">
        <w:rPr>
          <w:color w:val="auto"/>
          <w:sz w:val="24"/>
          <w:szCs w:val="24"/>
        </w:rPr>
        <w:t>,1</w:t>
      </w:r>
      <w:r w:rsidRPr="008C0E18">
        <w:rPr>
          <w:color w:val="auto"/>
          <w:sz w:val="24"/>
          <w:szCs w:val="24"/>
        </w:rPr>
        <w:t>%), Spanje (+2</w:t>
      </w:r>
      <w:r w:rsidR="008C0E18" w:rsidRPr="008C0E18">
        <w:rPr>
          <w:color w:val="auto"/>
          <w:sz w:val="24"/>
          <w:szCs w:val="24"/>
        </w:rPr>
        <w:t>3</w:t>
      </w:r>
      <w:r w:rsidRPr="008C0E18">
        <w:rPr>
          <w:color w:val="auto"/>
          <w:sz w:val="24"/>
          <w:szCs w:val="24"/>
        </w:rPr>
        <w:t>,</w:t>
      </w:r>
      <w:r w:rsidR="008C0E18" w:rsidRPr="008C0E18">
        <w:rPr>
          <w:color w:val="auto"/>
          <w:sz w:val="24"/>
          <w:szCs w:val="24"/>
        </w:rPr>
        <w:t>4</w:t>
      </w:r>
      <w:r w:rsidRPr="008C0E18">
        <w:rPr>
          <w:color w:val="auto"/>
          <w:sz w:val="24"/>
          <w:szCs w:val="24"/>
        </w:rPr>
        <w:t xml:space="preserve">%), </w:t>
      </w:r>
      <w:r w:rsidRPr="00E4347A">
        <w:rPr>
          <w:color w:val="auto"/>
          <w:sz w:val="24"/>
          <w:szCs w:val="24"/>
        </w:rPr>
        <w:t>Polen (+1</w:t>
      </w:r>
      <w:r w:rsidR="00E4347A" w:rsidRPr="00E4347A">
        <w:rPr>
          <w:color w:val="auto"/>
          <w:sz w:val="24"/>
          <w:szCs w:val="24"/>
        </w:rPr>
        <w:t>9</w:t>
      </w:r>
      <w:r w:rsidRPr="00E4347A">
        <w:rPr>
          <w:color w:val="auto"/>
          <w:sz w:val="24"/>
          <w:szCs w:val="24"/>
        </w:rPr>
        <w:t>,</w:t>
      </w:r>
      <w:r w:rsidR="00E4347A" w:rsidRPr="00E4347A">
        <w:rPr>
          <w:color w:val="auto"/>
          <w:sz w:val="24"/>
          <w:szCs w:val="24"/>
        </w:rPr>
        <w:t>1</w:t>
      </w:r>
      <w:r w:rsidRPr="00E4347A">
        <w:rPr>
          <w:color w:val="auto"/>
          <w:sz w:val="24"/>
          <w:szCs w:val="24"/>
        </w:rPr>
        <w:t>%), Tsjechië (+14,</w:t>
      </w:r>
      <w:r w:rsidR="00E4347A" w:rsidRPr="00E4347A">
        <w:rPr>
          <w:color w:val="auto"/>
          <w:sz w:val="24"/>
          <w:szCs w:val="24"/>
        </w:rPr>
        <w:t>6</w:t>
      </w:r>
      <w:r w:rsidRPr="00E4347A">
        <w:rPr>
          <w:color w:val="auto"/>
          <w:sz w:val="24"/>
          <w:szCs w:val="24"/>
        </w:rPr>
        <w:t>%), Oostenrijk (+18,</w:t>
      </w:r>
      <w:r w:rsidR="00E4347A" w:rsidRPr="00E4347A">
        <w:rPr>
          <w:color w:val="auto"/>
          <w:sz w:val="24"/>
          <w:szCs w:val="24"/>
        </w:rPr>
        <w:t>8</w:t>
      </w:r>
      <w:r w:rsidRPr="00E4347A">
        <w:rPr>
          <w:color w:val="auto"/>
          <w:sz w:val="24"/>
          <w:szCs w:val="24"/>
        </w:rPr>
        <w:t>%) en Zweden (+20,</w:t>
      </w:r>
      <w:r w:rsidR="00E4347A" w:rsidRPr="00E4347A">
        <w:rPr>
          <w:color w:val="auto"/>
          <w:sz w:val="24"/>
          <w:szCs w:val="24"/>
        </w:rPr>
        <w:t>3</w:t>
      </w:r>
      <w:r w:rsidRPr="00516F07">
        <w:rPr>
          <w:color w:val="auto"/>
          <w:sz w:val="24"/>
          <w:szCs w:val="24"/>
        </w:rPr>
        <w:t xml:space="preserve">%). Daarnaast boekten we ook betere cijfers dan </w:t>
      </w:r>
      <w:r w:rsidR="00E4347A" w:rsidRPr="00516F07">
        <w:rPr>
          <w:color w:val="auto"/>
          <w:sz w:val="24"/>
          <w:szCs w:val="24"/>
        </w:rPr>
        <w:t>Hongar</w:t>
      </w:r>
      <w:r w:rsidR="00516F07" w:rsidRPr="00516F07">
        <w:rPr>
          <w:color w:val="auto"/>
          <w:sz w:val="24"/>
          <w:szCs w:val="24"/>
        </w:rPr>
        <w:t>ije</w:t>
      </w:r>
      <w:r w:rsidRPr="00516F07">
        <w:rPr>
          <w:color w:val="auto"/>
          <w:sz w:val="24"/>
          <w:szCs w:val="24"/>
        </w:rPr>
        <w:t xml:space="preserve"> (+17,</w:t>
      </w:r>
      <w:r w:rsidR="00516F07" w:rsidRPr="00516F07">
        <w:rPr>
          <w:color w:val="auto"/>
          <w:sz w:val="24"/>
          <w:szCs w:val="24"/>
        </w:rPr>
        <w:t>3</w:t>
      </w:r>
      <w:r w:rsidRPr="00516F07">
        <w:rPr>
          <w:color w:val="auto"/>
          <w:sz w:val="24"/>
          <w:szCs w:val="24"/>
        </w:rPr>
        <w:t xml:space="preserve">%) en </w:t>
      </w:r>
      <w:r w:rsidR="00E4347A" w:rsidRPr="00516F07">
        <w:rPr>
          <w:color w:val="auto"/>
          <w:sz w:val="24"/>
          <w:szCs w:val="24"/>
        </w:rPr>
        <w:t>Denemarken</w:t>
      </w:r>
      <w:r w:rsidRPr="00516F07">
        <w:rPr>
          <w:color w:val="auto"/>
          <w:sz w:val="24"/>
          <w:szCs w:val="24"/>
        </w:rPr>
        <w:t xml:space="preserve"> (+1</w:t>
      </w:r>
      <w:r w:rsidR="00516F07" w:rsidRPr="00516F07">
        <w:rPr>
          <w:color w:val="auto"/>
          <w:sz w:val="24"/>
          <w:szCs w:val="24"/>
        </w:rPr>
        <w:t>7</w:t>
      </w:r>
      <w:r w:rsidRPr="00516F07">
        <w:rPr>
          <w:color w:val="auto"/>
          <w:sz w:val="24"/>
          <w:szCs w:val="24"/>
        </w:rPr>
        <w:t>,</w:t>
      </w:r>
      <w:r w:rsidR="00516F07" w:rsidRPr="00516F07">
        <w:rPr>
          <w:color w:val="auto"/>
          <w:sz w:val="24"/>
          <w:szCs w:val="24"/>
        </w:rPr>
        <w:t>6</w:t>
      </w:r>
      <w:r w:rsidRPr="00516F07">
        <w:rPr>
          <w:color w:val="auto"/>
          <w:sz w:val="24"/>
          <w:szCs w:val="24"/>
        </w:rPr>
        <w:t xml:space="preserve">%). Het Verenigd </w:t>
      </w:r>
      <w:r w:rsidRPr="00203EF8">
        <w:rPr>
          <w:color w:val="auto"/>
          <w:sz w:val="24"/>
          <w:szCs w:val="24"/>
        </w:rPr>
        <w:t>Koninkrijk, dat we als niet-EU-land toch nog even meenemen in de vergelijking, zag zijn export 1</w:t>
      </w:r>
      <w:r w:rsidR="00203EF8" w:rsidRPr="00203EF8">
        <w:rPr>
          <w:color w:val="auto"/>
          <w:sz w:val="24"/>
          <w:szCs w:val="24"/>
        </w:rPr>
        <w:t>5,3</w:t>
      </w:r>
      <w:r w:rsidRPr="00203EF8">
        <w:rPr>
          <w:color w:val="auto"/>
          <w:sz w:val="24"/>
          <w:szCs w:val="24"/>
        </w:rPr>
        <w:t xml:space="preserve">% oplopen tegenover </w:t>
      </w:r>
      <w:r w:rsidR="00203EF8" w:rsidRPr="00203EF8">
        <w:rPr>
          <w:color w:val="auto"/>
          <w:sz w:val="24"/>
          <w:szCs w:val="24"/>
        </w:rPr>
        <w:t xml:space="preserve">de eerste vijf maanden van </w:t>
      </w:r>
      <w:r w:rsidRPr="00203EF8">
        <w:rPr>
          <w:color w:val="auto"/>
          <w:sz w:val="24"/>
          <w:szCs w:val="24"/>
        </w:rPr>
        <w:t>2021.</w:t>
      </w:r>
    </w:p>
    <w:p w14:paraId="20895F75" w14:textId="500DC7E8" w:rsidR="001B31D9" w:rsidRPr="007F6A0E" w:rsidRDefault="001B31D9">
      <w:pPr>
        <w:spacing w:line="240" w:lineRule="auto"/>
        <w:rPr>
          <w:rFonts w:eastAsia="Times New Roman" w:cs="Times New Roman"/>
          <w:color w:val="FF0000"/>
          <w:sz w:val="24"/>
          <w:szCs w:val="24"/>
        </w:rPr>
      </w:pPr>
    </w:p>
    <w:p w14:paraId="05B3F5BA" w14:textId="77777777" w:rsidR="001B31D9" w:rsidRDefault="001B31D9">
      <w:pPr>
        <w:spacing w:before="240" w:after="0" w:line="240" w:lineRule="auto"/>
        <w:ind w:left="-142" w:firstLine="0"/>
        <w:rPr>
          <w:rFonts w:eastAsia="Times New Roman" w:cs="Times New Roman"/>
          <w:color w:val="000000" w:themeColor="text1"/>
          <w:sz w:val="24"/>
          <w:szCs w:val="24"/>
        </w:rPr>
      </w:pPr>
    </w:p>
    <w:p w14:paraId="1B93FF69" w14:textId="77777777" w:rsidR="00AD01AE" w:rsidRDefault="00AD01AE">
      <w:pPr>
        <w:spacing w:before="240" w:after="0" w:line="240" w:lineRule="auto"/>
        <w:ind w:left="-142" w:firstLine="0"/>
        <w:rPr>
          <w:rFonts w:eastAsia="Times New Roman" w:cs="Times New Roman"/>
          <w:color w:val="000000" w:themeColor="text1"/>
          <w:sz w:val="24"/>
          <w:szCs w:val="24"/>
        </w:rPr>
      </w:pPr>
      <w:r>
        <w:rPr>
          <w:noProof/>
        </w:rPr>
        <w:drawing>
          <wp:inline distT="0" distB="0" distL="0" distR="0" wp14:anchorId="79530E9D" wp14:editId="2F456B8D">
            <wp:extent cx="6701337" cy="611930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708937" cy="6126249"/>
                    </a:xfrm>
                    <a:prstGeom prst="rect">
                      <a:avLst/>
                    </a:prstGeom>
                    <a:noFill/>
                    <a:ln>
                      <a:noFill/>
                    </a:ln>
                  </pic:spPr>
                </pic:pic>
              </a:graphicData>
            </a:graphic>
          </wp:inline>
        </w:drawing>
      </w:r>
    </w:p>
    <w:p w14:paraId="5D1219C3" w14:textId="77777777" w:rsidR="00AD0628" w:rsidRDefault="00AD0628">
      <w:pPr>
        <w:spacing w:before="240" w:after="0" w:line="240" w:lineRule="auto"/>
        <w:ind w:left="-142" w:firstLine="0"/>
        <w:rPr>
          <w:rFonts w:eastAsia="Times New Roman" w:cs="Times New Roman"/>
          <w:color w:val="000000" w:themeColor="text1"/>
          <w:sz w:val="24"/>
          <w:szCs w:val="24"/>
        </w:rPr>
      </w:pPr>
    </w:p>
    <w:p w14:paraId="3EF333C7" w14:textId="77777777" w:rsidR="00A60B6D" w:rsidRDefault="00A60B6D" w:rsidP="00AD0628">
      <w:pPr>
        <w:spacing w:before="240"/>
        <w:ind w:left="-5"/>
        <w:rPr>
          <w:color w:val="FF0000"/>
          <w:sz w:val="24"/>
          <w:szCs w:val="24"/>
        </w:rPr>
      </w:pPr>
    </w:p>
    <w:p w14:paraId="1189A5FA" w14:textId="2C234432" w:rsidR="00F87519" w:rsidRDefault="00436B66" w:rsidP="00AD0628">
      <w:pPr>
        <w:spacing w:before="240"/>
        <w:ind w:left="-5"/>
        <w:rPr>
          <w:color w:val="auto"/>
          <w:sz w:val="24"/>
          <w:szCs w:val="24"/>
        </w:rPr>
      </w:pPr>
      <w:r>
        <w:rPr>
          <w:b/>
          <w:bCs/>
          <w:color w:val="auto"/>
          <w:sz w:val="24"/>
          <w:szCs w:val="24"/>
        </w:rPr>
        <w:t>Sectoren</w:t>
      </w:r>
    </w:p>
    <w:p w14:paraId="51B5237A" w14:textId="1DD50E13" w:rsidR="00DB31CB" w:rsidRDefault="005D1735" w:rsidP="00AD0628">
      <w:pPr>
        <w:spacing w:before="240"/>
        <w:ind w:left="-5"/>
        <w:rPr>
          <w:color w:val="FF0000"/>
          <w:sz w:val="24"/>
          <w:szCs w:val="24"/>
        </w:rPr>
      </w:pPr>
      <w:r w:rsidRPr="005D1735">
        <w:rPr>
          <w:color w:val="auto"/>
          <w:sz w:val="24"/>
          <w:szCs w:val="24"/>
        </w:rPr>
        <w:t>W</w:t>
      </w:r>
      <w:r w:rsidR="00AD0628" w:rsidRPr="005D1735">
        <w:rPr>
          <w:color w:val="auto"/>
          <w:sz w:val="24"/>
          <w:szCs w:val="24"/>
        </w:rPr>
        <w:t>elke</w:t>
      </w:r>
      <w:r w:rsidRPr="005D1735">
        <w:rPr>
          <w:color w:val="auto"/>
          <w:sz w:val="24"/>
          <w:szCs w:val="24"/>
        </w:rPr>
        <w:t xml:space="preserve"> waren</w:t>
      </w:r>
      <w:r w:rsidR="00AD0628" w:rsidRPr="005D1735">
        <w:rPr>
          <w:color w:val="auto"/>
          <w:sz w:val="24"/>
          <w:szCs w:val="24"/>
        </w:rPr>
        <w:t xml:space="preserve"> de exportbranches en -markten die de +3</w:t>
      </w:r>
      <w:r w:rsidRPr="005D1735">
        <w:rPr>
          <w:color w:val="auto"/>
          <w:sz w:val="24"/>
          <w:szCs w:val="24"/>
        </w:rPr>
        <w:t>3</w:t>
      </w:r>
      <w:r w:rsidR="00AD0628" w:rsidRPr="005D1735">
        <w:rPr>
          <w:color w:val="auto"/>
          <w:sz w:val="24"/>
          <w:szCs w:val="24"/>
        </w:rPr>
        <w:t>,</w:t>
      </w:r>
      <w:r w:rsidRPr="005D1735">
        <w:rPr>
          <w:color w:val="auto"/>
          <w:sz w:val="24"/>
          <w:szCs w:val="24"/>
        </w:rPr>
        <w:t>1</w:t>
      </w:r>
      <w:r w:rsidR="00AD0628" w:rsidRPr="005D1735">
        <w:rPr>
          <w:color w:val="auto"/>
          <w:sz w:val="24"/>
          <w:szCs w:val="24"/>
        </w:rPr>
        <w:t xml:space="preserve">% tijdens </w:t>
      </w:r>
      <w:r w:rsidRPr="005D1735">
        <w:rPr>
          <w:color w:val="auto"/>
          <w:sz w:val="24"/>
          <w:szCs w:val="24"/>
        </w:rPr>
        <w:t xml:space="preserve">de eerste vijf maanden van </w:t>
      </w:r>
      <w:r w:rsidR="00AD0628" w:rsidRPr="005D1735">
        <w:rPr>
          <w:color w:val="auto"/>
          <w:sz w:val="24"/>
          <w:szCs w:val="24"/>
        </w:rPr>
        <w:t>2022 op het bord hielpen te brengen</w:t>
      </w:r>
      <w:r w:rsidRPr="005D1735">
        <w:rPr>
          <w:color w:val="auto"/>
          <w:sz w:val="24"/>
          <w:szCs w:val="24"/>
        </w:rPr>
        <w:t>?</w:t>
      </w:r>
      <w:r w:rsidR="00AD0628" w:rsidRPr="005D1735">
        <w:rPr>
          <w:color w:val="auto"/>
          <w:sz w:val="24"/>
          <w:szCs w:val="24"/>
        </w:rPr>
        <w:t xml:space="preserve"> </w:t>
      </w:r>
      <w:r w:rsidR="00C026D7">
        <w:rPr>
          <w:color w:val="auto"/>
          <w:sz w:val="24"/>
          <w:szCs w:val="24"/>
        </w:rPr>
        <w:t xml:space="preserve">Ongeveer alle </w:t>
      </w:r>
      <w:r w:rsidR="00293922">
        <w:rPr>
          <w:color w:val="auto"/>
          <w:sz w:val="24"/>
          <w:szCs w:val="24"/>
        </w:rPr>
        <w:t>(sub)sectoren l</w:t>
      </w:r>
      <w:r w:rsidR="00170847">
        <w:rPr>
          <w:color w:val="auto"/>
          <w:sz w:val="24"/>
          <w:szCs w:val="24"/>
        </w:rPr>
        <w:t>a</w:t>
      </w:r>
      <w:r w:rsidR="00293922">
        <w:rPr>
          <w:color w:val="auto"/>
          <w:sz w:val="24"/>
          <w:szCs w:val="24"/>
        </w:rPr>
        <w:t xml:space="preserve">ten </w:t>
      </w:r>
      <w:r w:rsidR="00170847">
        <w:rPr>
          <w:color w:val="auto"/>
          <w:sz w:val="24"/>
          <w:szCs w:val="24"/>
        </w:rPr>
        <w:t xml:space="preserve">voorlopig </w:t>
      </w:r>
      <w:r w:rsidR="00293922">
        <w:rPr>
          <w:color w:val="auto"/>
          <w:sz w:val="24"/>
          <w:szCs w:val="24"/>
        </w:rPr>
        <w:t xml:space="preserve">een vooruitgang </w:t>
      </w:r>
      <w:r w:rsidR="00170847">
        <w:rPr>
          <w:color w:val="auto"/>
          <w:sz w:val="24"/>
          <w:szCs w:val="24"/>
        </w:rPr>
        <w:t xml:space="preserve">noteren. </w:t>
      </w:r>
      <w:r w:rsidRPr="00BC48B2">
        <w:rPr>
          <w:color w:val="auto"/>
          <w:sz w:val="24"/>
          <w:szCs w:val="24"/>
        </w:rPr>
        <w:t>S</w:t>
      </w:r>
      <w:r w:rsidR="00AD0628" w:rsidRPr="00BC48B2">
        <w:rPr>
          <w:color w:val="auto"/>
          <w:sz w:val="24"/>
          <w:szCs w:val="24"/>
        </w:rPr>
        <w:t xml:space="preserve">amengevat kunnen we stellen dat vooral sectoren als </w:t>
      </w:r>
      <w:r w:rsidR="005A7263" w:rsidRPr="00BC48B2">
        <w:rPr>
          <w:i/>
          <w:iCs/>
          <w:color w:val="auto"/>
          <w:sz w:val="24"/>
          <w:szCs w:val="24"/>
        </w:rPr>
        <w:t xml:space="preserve">minerale </w:t>
      </w:r>
      <w:r w:rsidR="00522E95" w:rsidRPr="00BC48B2">
        <w:rPr>
          <w:i/>
          <w:iCs/>
          <w:color w:val="auto"/>
          <w:sz w:val="24"/>
          <w:szCs w:val="24"/>
        </w:rPr>
        <w:t>brandstoffen</w:t>
      </w:r>
      <w:r w:rsidR="00AD0628" w:rsidRPr="00BC48B2">
        <w:rPr>
          <w:color w:val="auto"/>
          <w:sz w:val="24"/>
          <w:szCs w:val="24"/>
        </w:rPr>
        <w:t xml:space="preserve"> (+1</w:t>
      </w:r>
      <w:r w:rsidR="005A7263" w:rsidRPr="00BC48B2">
        <w:rPr>
          <w:color w:val="auto"/>
          <w:sz w:val="24"/>
          <w:szCs w:val="24"/>
        </w:rPr>
        <w:t>22</w:t>
      </w:r>
      <w:r w:rsidR="00AD0628" w:rsidRPr="00BC48B2">
        <w:rPr>
          <w:color w:val="auto"/>
          <w:sz w:val="24"/>
          <w:szCs w:val="24"/>
        </w:rPr>
        <w:t xml:space="preserve">%), </w:t>
      </w:r>
      <w:r w:rsidR="00F77982" w:rsidRPr="00BC48B2">
        <w:rPr>
          <w:i/>
          <w:iCs/>
          <w:color w:val="auto"/>
          <w:sz w:val="24"/>
          <w:szCs w:val="24"/>
        </w:rPr>
        <w:t>farma</w:t>
      </w:r>
      <w:r w:rsidR="00AD0628" w:rsidRPr="00BC48B2">
        <w:rPr>
          <w:color w:val="auto"/>
          <w:sz w:val="24"/>
          <w:szCs w:val="24"/>
        </w:rPr>
        <w:t xml:space="preserve"> (+4</w:t>
      </w:r>
      <w:r w:rsidR="00F77982" w:rsidRPr="00BC48B2">
        <w:rPr>
          <w:color w:val="auto"/>
          <w:sz w:val="24"/>
          <w:szCs w:val="24"/>
        </w:rPr>
        <w:t>2</w:t>
      </w:r>
      <w:r w:rsidR="00AD0628" w:rsidRPr="00BC48B2">
        <w:rPr>
          <w:color w:val="auto"/>
          <w:sz w:val="24"/>
          <w:szCs w:val="24"/>
        </w:rPr>
        <w:t xml:space="preserve">%), </w:t>
      </w:r>
      <w:r w:rsidR="00AD0628" w:rsidRPr="00895097">
        <w:rPr>
          <w:i/>
          <w:iCs/>
          <w:color w:val="auto"/>
          <w:sz w:val="24"/>
          <w:szCs w:val="24"/>
        </w:rPr>
        <w:t>organische chemie</w:t>
      </w:r>
      <w:r w:rsidR="00AD0628" w:rsidRPr="00895097">
        <w:rPr>
          <w:color w:val="auto"/>
          <w:sz w:val="24"/>
          <w:szCs w:val="24"/>
        </w:rPr>
        <w:t xml:space="preserve"> (+4</w:t>
      </w:r>
      <w:r w:rsidR="00895097" w:rsidRPr="00895097">
        <w:rPr>
          <w:color w:val="auto"/>
          <w:sz w:val="24"/>
          <w:szCs w:val="24"/>
        </w:rPr>
        <w:t>3</w:t>
      </w:r>
      <w:r w:rsidR="00AD0628" w:rsidRPr="00895097">
        <w:rPr>
          <w:color w:val="auto"/>
          <w:sz w:val="24"/>
          <w:szCs w:val="24"/>
        </w:rPr>
        <w:t>%)</w:t>
      </w:r>
      <w:r w:rsidR="00BC48B2" w:rsidRPr="00895097">
        <w:rPr>
          <w:color w:val="auto"/>
          <w:sz w:val="24"/>
          <w:szCs w:val="24"/>
        </w:rPr>
        <w:t xml:space="preserve"> en</w:t>
      </w:r>
      <w:r w:rsidR="00AD0628" w:rsidRPr="00895097">
        <w:rPr>
          <w:color w:val="auto"/>
          <w:sz w:val="24"/>
          <w:szCs w:val="24"/>
        </w:rPr>
        <w:t xml:space="preserve"> </w:t>
      </w:r>
      <w:r w:rsidR="00AD0628" w:rsidRPr="00895097">
        <w:rPr>
          <w:i/>
          <w:iCs/>
          <w:color w:val="auto"/>
          <w:sz w:val="24"/>
          <w:szCs w:val="24"/>
        </w:rPr>
        <w:t xml:space="preserve">ijzer &amp; staal </w:t>
      </w:r>
      <w:r w:rsidR="00AD0628" w:rsidRPr="00895097">
        <w:rPr>
          <w:color w:val="auto"/>
          <w:sz w:val="24"/>
          <w:szCs w:val="24"/>
        </w:rPr>
        <w:t>(+</w:t>
      </w:r>
      <w:r w:rsidR="00895097" w:rsidRPr="00895097">
        <w:rPr>
          <w:color w:val="auto"/>
          <w:sz w:val="24"/>
          <w:szCs w:val="24"/>
        </w:rPr>
        <w:t>81</w:t>
      </w:r>
      <w:r w:rsidR="00AD0628" w:rsidRPr="00895097">
        <w:rPr>
          <w:color w:val="auto"/>
          <w:sz w:val="24"/>
          <w:szCs w:val="24"/>
        </w:rPr>
        <w:t xml:space="preserve">%), duidelijk de hand hadden in de hoge vlucht van onze uitvoer. Daar zaten overigens ook enkele productgroepen bij met een hoog gehalte aan “grondstoffen”, waarvan de wereldprijs </w:t>
      </w:r>
      <w:r w:rsidR="00AD0628" w:rsidRPr="00DB31CB">
        <w:rPr>
          <w:color w:val="auto"/>
          <w:sz w:val="24"/>
          <w:szCs w:val="24"/>
        </w:rPr>
        <w:t>uitgerekend tijdens</w:t>
      </w:r>
      <w:r w:rsidR="00895097" w:rsidRPr="00DB31CB">
        <w:rPr>
          <w:color w:val="auto"/>
          <w:sz w:val="24"/>
          <w:szCs w:val="24"/>
        </w:rPr>
        <w:t xml:space="preserve"> de eerste maanden van </w:t>
      </w:r>
      <w:r w:rsidR="00AD0628" w:rsidRPr="00DB31CB">
        <w:rPr>
          <w:color w:val="auto"/>
          <w:sz w:val="24"/>
          <w:szCs w:val="24"/>
        </w:rPr>
        <w:t>2022 koerspieken bereikte</w:t>
      </w:r>
      <w:r w:rsidR="00DB31CB">
        <w:rPr>
          <w:color w:val="FF0000"/>
          <w:sz w:val="24"/>
          <w:szCs w:val="24"/>
        </w:rPr>
        <w:t>.</w:t>
      </w:r>
      <w:r w:rsidR="00AD0628" w:rsidRPr="00AD0628">
        <w:rPr>
          <w:color w:val="FF0000"/>
          <w:sz w:val="24"/>
          <w:szCs w:val="24"/>
        </w:rPr>
        <w:t xml:space="preserve"> </w:t>
      </w:r>
    </w:p>
    <w:p w14:paraId="5F246C60" w14:textId="3BBE7253" w:rsidR="00AD0628" w:rsidRPr="000054B9" w:rsidRDefault="00AD0628" w:rsidP="00AF5D1A">
      <w:pPr>
        <w:spacing w:before="120"/>
        <w:rPr>
          <w:color w:val="auto"/>
          <w:sz w:val="24"/>
          <w:szCs w:val="24"/>
        </w:rPr>
      </w:pPr>
      <w:r w:rsidRPr="000054B9">
        <w:rPr>
          <w:color w:val="auto"/>
          <w:sz w:val="24"/>
          <w:szCs w:val="24"/>
        </w:rPr>
        <w:t xml:space="preserve">In </w:t>
      </w:r>
      <w:r w:rsidR="00A82CD2" w:rsidRPr="000054B9">
        <w:rPr>
          <w:color w:val="auto"/>
          <w:sz w:val="24"/>
          <w:szCs w:val="24"/>
        </w:rPr>
        <w:t>een</w:t>
      </w:r>
      <w:r w:rsidRPr="000054B9">
        <w:rPr>
          <w:color w:val="auto"/>
          <w:sz w:val="24"/>
          <w:szCs w:val="24"/>
        </w:rPr>
        <w:t xml:space="preserve"> eerdere</w:t>
      </w:r>
      <w:r w:rsidR="00A82CD2" w:rsidRPr="000054B9">
        <w:rPr>
          <w:color w:val="auto"/>
          <w:sz w:val="24"/>
          <w:szCs w:val="24"/>
        </w:rPr>
        <w:t xml:space="preserve"> </w:t>
      </w:r>
      <w:r w:rsidRPr="000054B9">
        <w:rPr>
          <w:color w:val="auto"/>
          <w:sz w:val="24"/>
          <w:szCs w:val="24"/>
        </w:rPr>
        <w:t xml:space="preserve">prognose </w:t>
      </w:r>
      <w:r w:rsidR="00AA5301">
        <w:rPr>
          <w:color w:val="auto"/>
          <w:sz w:val="24"/>
          <w:szCs w:val="24"/>
        </w:rPr>
        <w:t>zei</w:t>
      </w:r>
      <w:r w:rsidRPr="000054B9">
        <w:rPr>
          <w:color w:val="auto"/>
          <w:sz w:val="24"/>
          <w:szCs w:val="24"/>
        </w:rPr>
        <w:t xml:space="preserve"> de NBB daar al over </w:t>
      </w:r>
      <w:r w:rsidR="00AF5D1A">
        <w:rPr>
          <w:color w:val="auto"/>
          <w:sz w:val="24"/>
          <w:szCs w:val="24"/>
        </w:rPr>
        <w:t>dat</w:t>
      </w:r>
      <w:r w:rsidRPr="000054B9">
        <w:rPr>
          <w:color w:val="auto"/>
          <w:sz w:val="24"/>
          <w:szCs w:val="24"/>
        </w:rPr>
        <w:t xml:space="preserve"> </w:t>
      </w:r>
      <w:r w:rsidR="00AF5D1A" w:rsidRPr="0034374E">
        <w:rPr>
          <w:b/>
          <w:bCs/>
          <w:color w:val="auto"/>
          <w:sz w:val="24"/>
          <w:szCs w:val="24"/>
        </w:rPr>
        <w:t>d</w:t>
      </w:r>
      <w:r w:rsidRPr="0034374E">
        <w:rPr>
          <w:b/>
          <w:bCs/>
          <w:color w:val="auto"/>
          <w:sz w:val="24"/>
          <w:szCs w:val="24"/>
        </w:rPr>
        <w:t xml:space="preserve">e sterke waardestijging van het goederenverkeer almaar meer te maken </w:t>
      </w:r>
      <w:r w:rsidR="00AF5D1A" w:rsidRPr="0034374E">
        <w:rPr>
          <w:b/>
          <w:bCs/>
          <w:color w:val="auto"/>
          <w:sz w:val="24"/>
          <w:szCs w:val="24"/>
        </w:rPr>
        <w:t xml:space="preserve">hebben </w:t>
      </w:r>
      <w:r w:rsidRPr="0034374E">
        <w:rPr>
          <w:b/>
          <w:bCs/>
          <w:color w:val="auto"/>
          <w:sz w:val="24"/>
          <w:szCs w:val="24"/>
        </w:rPr>
        <w:t>met prijsontwikkelingen — gemeten naar gemiddelde eenheidswaarden.</w:t>
      </w:r>
      <w:r w:rsidRPr="0034374E">
        <w:rPr>
          <w:b/>
          <w:bCs/>
          <w:i/>
          <w:iCs/>
          <w:color w:val="FF0000"/>
          <w:sz w:val="24"/>
          <w:szCs w:val="24"/>
        </w:rPr>
        <w:t xml:space="preserve"> </w:t>
      </w:r>
      <w:r w:rsidRPr="0034374E">
        <w:rPr>
          <w:b/>
          <w:bCs/>
          <w:color w:val="auto"/>
          <w:sz w:val="24"/>
          <w:szCs w:val="24"/>
        </w:rPr>
        <w:t xml:space="preserve">In het eerste kwartaal van 2022, was het prijsverloop al goed voor </w:t>
      </w:r>
      <w:r w:rsidRPr="0034374E">
        <w:rPr>
          <w:rFonts w:ascii="Cambria" w:hAnsi="Cambria" w:cs="Cambria"/>
          <w:b/>
          <w:bCs/>
          <w:color w:val="auto"/>
          <w:sz w:val="24"/>
          <w:szCs w:val="24"/>
        </w:rPr>
        <w:t>¾</w:t>
      </w:r>
      <w:r w:rsidRPr="0034374E">
        <w:rPr>
          <w:b/>
          <w:bCs/>
          <w:color w:val="auto"/>
          <w:sz w:val="24"/>
          <w:szCs w:val="24"/>
        </w:rPr>
        <w:t xml:space="preserve"> van de waardestijging, zowel aan de invoerzijde als aan de uitvoerzijde. </w:t>
      </w:r>
      <w:r w:rsidR="00E83314" w:rsidRPr="0034374E">
        <w:rPr>
          <w:b/>
          <w:bCs/>
          <w:color w:val="auto"/>
          <w:sz w:val="24"/>
          <w:szCs w:val="24"/>
        </w:rPr>
        <w:t>Dat percentage zal voorlopig wellicht niet gedaald zijn.</w:t>
      </w:r>
    </w:p>
    <w:p w14:paraId="20895F76" w14:textId="5E9B3A9C" w:rsidR="0053416D" w:rsidRPr="00CA34DD" w:rsidRDefault="0053416D" w:rsidP="0053416D">
      <w:pPr>
        <w:spacing w:before="240" w:after="0" w:line="240" w:lineRule="auto"/>
        <w:ind w:left="0" w:firstLine="0"/>
        <w:rPr>
          <w:rFonts w:eastAsia="Times New Roman" w:cs="Times New Roman"/>
          <w:color w:val="auto"/>
          <w:sz w:val="24"/>
          <w:szCs w:val="24"/>
        </w:rPr>
        <w:sectPr w:rsidR="0053416D" w:rsidRPr="00CA34DD">
          <w:pgSz w:w="11906" w:h="16841"/>
          <w:pgMar w:top="720" w:right="720" w:bottom="720" w:left="720" w:header="708" w:footer="708" w:gutter="0"/>
          <w:cols w:space="708"/>
          <w:docGrid w:linePitch="272"/>
        </w:sectPr>
      </w:pPr>
      <w:r w:rsidRPr="00CA34DD">
        <w:rPr>
          <w:color w:val="auto"/>
          <w:sz w:val="24"/>
          <w:szCs w:val="24"/>
        </w:rPr>
        <w:t xml:space="preserve">Kortom: afgezette volumes van </w:t>
      </w:r>
      <w:r w:rsidR="00CA34DD" w:rsidRPr="00CA34DD">
        <w:rPr>
          <w:color w:val="auto"/>
          <w:sz w:val="24"/>
          <w:szCs w:val="24"/>
        </w:rPr>
        <w:t>heel wat producten</w:t>
      </w:r>
      <w:r w:rsidRPr="00CA34DD">
        <w:rPr>
          <w:color w:val="auto"/>
          <w:sz w:val="24"/>
          <w:szCs w:val="24"/>
        </w:rPr>
        <w:t xml:space="preserve"> mogen dan weliswaar blijven stijgen, ze d</w:t>
      </w:r>
      <w:r w:rsidR="00CA34DD" w:rsidRPr="00CA34DD">
        <w:rPr>
          <w:color w:val="auto"/>
          <w:sz w:val="24"/>
          <w:szCs w:val="24"/>
        </w:rPr>
        <w:t>oen</w:t>
      </w:r>
      <w:r w:rsidRPr="00CA34DD">
        <w:rPr>
          <w:color w:val="auto"/>
          <w:sz w:val="24"/>
          <w:szCs w:val="24"/>
        </w:rPr>
        <w:t xml:space="preserve"> dat dat tijdens </w:t>
      </w:r>
      <w:r w:rsidR="00CA34DD" w:rsidRPr="00CA34DD">
        <w:rPr>
          <w:color w:val="auto"/>
          <w:sz w:val="24"/>
          <w:szCs w:val="24"/>
        </w:rPr>
        <w:t xml:space="preserve">de eerste vijf maanden van </w:t>
      </w:r>
      <w:r w:rsidRPr="00CA34DD">
        <w:rPr>
          <w:color w:val="auto"/>
          <w:sz w:val="24"/>
          <w:szCs w:val="24"/>
        </w:rPr>
        <w:t>2022 doorgaans (veel) minder uitgesproken dan de (wereld)prijzen ervan.</w:t>
      </w:r>
      <w:r w:rsidR="005F2DC0">
        <w:rPr>
          <w:color w:val="auto"/>
          <w:sz w:val="24"/>
          <w:szCs w:val="24"/>
        </w:rPr>
        <w:t xml:space="preserve"> </w:t>
      </w:r>
    </w:p>
    <w:p w14:paraId="015FBE73" w14:textId="1A0FACFA" w:rsidR="00076532" w:rsidRDefault="00576EA2">
      <w:pPr>
        <w:spacing w:after="0" w:line="240" w:lineRule="auto"/>
        <w:ind w:left="-142" w:firstLine="0"/>
        <w:jc w:val="center"/>
        <w:rPr>
          <w:color w:val="FF0000"/>
          <w:sz w:val="24"/>
          <w:szCs w:val="24"/>
        </w:rPr>
      </w:pPr>
      <w:r w:rsidRPr="00576EA2">
        <w:rPr>
          <w:noProof/>
          <w:color w:val="FF0000"/>
          <w:sz w:val="24"/>
          <w:szCs w:val="24"/>
        </w:rPr>
        <w:lastRenderedPageBreak/>
        <w:drawing>
          <wp:inline distT="0" distB="0" distL="0" distR="0" wp14:anchorId="666BA59F" wp14:editId="1CF03DF4">
            <wp:extent cx="9099239" cy="59525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12143" cy="5961012"/>
                    </a:xfrm>
                    <a:prstGeom prst="rect">
                      <a:avLst/>
                    </a:prstGeom>
                  </pic:spPr>
                </pic:pic>
              </a:graphicData>
            </a:graphic>
          </wp:inline>
        </w:drawing>
      </w:r>
      <w:r w:rsidR="00076532" w:rsidRPr="00076532">
        <w:rPr>
          <w:color w:val="FF0000"/>
          <w:sz w:val="24"/>
          <w:szCs w:val="24"/>
        </w:rPr>
        <w:t xml:space="preserve"> </w:t>
      </w:r>
    </w:p>
    <w:p w14:paraId="0B3008F5" w14:textId="77777777" w:rsidR="0047129E" w:rsidRDefault="0047129E">
      <w:pPr>
        <w:spacing w:after="0" w:line="240" w:lineRule="auto"/>
        <w:ind w:left="-142" w:firstLine="0"/>
        <w:jc w:val="center"/>
        <w:rPr>
          <w:color w:val="FF0000"/>
          <w:sz w:val="24"/>
          <w:szCs w:val="24"/>
        </w:rPr>
      </w:pPr>
    </w:p>
    <w:p w14:paraId="0A9211A8" w14:textId="77777777" w:rsidR="0047129E" w:rsidRDefault="0047129E">
      <w:pPr>
        <w:spacing w:after="0" w:line="240" w:lineRule="auto"/>
        <w:ind w:left="-142" w:firstLine="0"/>
        <w:jc w:val="center"/>
        <w:rPr>
          <w:color w:val="FF0000"/>
          <w:sz w:val="24"/>
          <w:szCs w:val="24"/>
        </w:rPr>
      </w:pPr>
    </w:p>
    <w:p w14:paraId="20895F77" w14:textId="453B0405" w:rsidR="00576EA2" w:rsidRDefault="00576EA2">
      <w:pPr>
        <w:spacing w:after="0" w:line="240" w:lineRule="auto"/>
        <w:ind w:left="-142" w:firstLine="0"/>
        <w:jc w:val="center"/>
        <w:rPr>
          <w:color w:val="FF0000"/>
          <w:sz w:val="24"/>
          <w:szCs w:val="24"/>
        </w:rPr>
        <w:sectPr w:rsidR="00576EA2">
          <w:pgSz w:w="16841" w:h="11906" w:orient="landscape"/>
          <w:pgMar w:top="720" w:right="720" w:bottom="720" w:left="720" w:header="708" w:footer="708" w:gutter="0"/>
          <w:cols w:space="708"/>
          <w:docGrid w:linePitch="272"/>
        </w:sectPr>
      </w:pPr>
    </w:p>
    <w:p w14:paraId="47119DE4" w14:textId="77777777" w:rsidR="00DA2448" w:rsidRDefault="00DA2448">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p>
    <w:p w14:paraId="1EF5D007" w14:textId="77777777" w:rsidR="005F146B" w:rsidRDefault="005F146B">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p>
    <w:p w14:paraId="73619E62" w14:textId="77777777" w:rsidR="005F146B" w:rsidRDefault="005F146B">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p>
    <w:p w14:paraId="65C1341A" w14:textId="6FC641D8" w:rsidR="00DA2448" w:rsidRDefault="00D55B8B">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r w:rsidRPr="00D55B8B">
        <w:rPr>
          <w:rFonts w:eastAsia="Times New Roman" w:cs="Calibri"/>
          <w:b/>
          <w:bCs/>
          <w:noProof/>
          <w:sz w:val="27"/>
          <w:szCs w:val="27"/>
        </w:rPr>
        <w:drawing>
          <wp:inline distT="0" distB="0" distL="0" distR="0" wp14:anchorId="23D8F814" wp14:editId="30E2CE47">
            <wp:extent cx="9776460" cy="5407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86929" cy="5413451"/>
                    </a:xfrm>
                    <a:prstGeom prst="rect">
                      <a:avLst/>
                    </a:prstGeom>
                  </pic:spPr>
                </pic:pic>
              </a:graphicData>
            </a:graphic>
          </wp:inline>
        </w:drawing>
      </w:r>
    </w:p>
    <w:p w14:paraId="20895F79" w14:textId="09E30847" w:rsidR="001B31D9" w:rsidRDefault="00F44798">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r w:rsidRPr="00F44798">
        <w:rPr>
          <w:rFonts w:eastAsia="Times New Roman" w:cs="Calibri"/>
          <w:b/>
          <w:bCs/>
          <w:noProof/>
          <w:sz w:val="27"/>
          <w:szCs w:val="27"/>
        </w:rPr>
        <w:lastRenderedPageBreak/>
        <w:drawing>
          <wp:inline distT="0" distB="0" distL="0" distR="0" wp14:anchorId="5ECCB690" wp14:editId="34608127">
            <wp:extent cx="9101313" cy="516636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03572" cy="5167642"/>
                    </a:xfrm>
                    <a:prstGeom prst="rect">
                      <a:avLst/>
                    </a:prstGeom>
                  </pic:spPr>
                </pic:pic>
              </a:graphicData>
            </a:graphic>
          </wp:inline>
        </w:drawing>
      </w:r>
    </w:p>
    <w:p w14:paraId="4CF04DED" w14:textId="77777777" w:rsidR="002214AE" w:rsidRDefault="002214AE">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p>
    <w:p w14:paraId="4E698B8F" w14:textId="39410E50" w:rsidR="002214AE" w:rsidRDefault="00C279D5">
      <w:pPr>
        <w:tabs>
          <w:tab w:val="center" w:pos="2982"/>
          <w:tab w:val="center" w:pos="5761"/>
          <w:tab w:val="center" w:pos="6481"/>
          <w:tab w:val="center" w:pos="7201"/>
          <w:tab w:val="center" w:pos="7921"/>
          <w:tab w:val="center" w:pos="8641"/>
          <w:tab w:val="center" w:pos="9361"/>
          <w:tab w:val="center" w:pos="10081"/>
          <w:tab w:val="center" w:pos="10801"/>
          <w:tab w:val="center" w:pos="13375"/>
        </w:tabs>
        <w:spacing w:after="0" w:line="259" w:lineRule="auto"/>
        <w:ind w:left="142" w:firstLine="0"/>
        <w:rPr>
          <w:rFonts w:eastAsia="Times New Roman" w:cs="Calibri"/>
          <w:b/>
          <w:bCs/>
          <w:sz w:val="27"/>
          <w:szCs w:val="27"/>
        </w:rPr>
      </w:pPr>
      <w:r w:rsidRPr="00C279D5">
        <w:rPr>
          <w:rFonts w:eastAsia="Times New Roman" w:cs="Calibri"/>
          <w:b/>
          <w:bCs/>
          <w:noProof/>
          <w:sz w:val="27"/>
          <w:szCs w:val="27"/>
        </w:rPr>
        <w:lastRenderedPageBreak/>
        <w:drawing>
          <wp:inline distT="0" distB="0" distL="0" distR="0" wp14:anchorId="0FCEF05A" wp14:editId="3A6C6F5C">
            <wp:extent cx="9738360" cy="5646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47799" cy="5651893"/>
                    </a:xfrm>
                    <a:prstGeom prst="rect">
                      <a:avLst/>
                    </a:prstGeom>
                  </pic:spPr>
                </pic:pic>
              </a:graphicData>
            </a:graphic>
          </wp:inline>
        </w:drawing>
      </w:r>
    </w:p>
    <w:sectPr w:rsidR="002214AE">
      <w:pgSz w:w="16841" w:h="11906" w:orient="landscape" w:code="9"/>
      <w:pgMar w:top="720" w:right="720" w:bottom="720" w:left="72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D9"/>
    <w:rsid w:val="000054B9"/>
    <w:rsid w:val="000316C8"/>
    <w:rsid w:val="00064CFF"/>
    <w:rsid w:val="00076532"/>
    <w:rsid w:val="00077D2B"/>
    <w:rsid w:val="000A6142"/>
    <w:rsid w:val="000A6F66"/>
    <w:rsid w:val="000F3B35"/>
    <w:rsid w:val="001040E1"/>
    <w:rsid w:val="00105B09"/>
    <w:rsid w:val="00105BFE"/>
    <w:rsid w:val="00124F9C"/>
    <w:rsid w:val="00131A4A"/>
    <w:rsid w:val="001442D5"/>
    <w:rsid w:val="00145D15"/>
    <w:rsid w:val="001500F9"/>
    <w:rsid w:val="00156992"/>
    <w:rsid w:val="00167F90"/>
    <w:rsid w:val="00170847"/>
    <w:rsid w:val="0017490F"/>
    <w:rsid w:val="00177C56"/>
    <w:rsid w:val="00180723"/>
    <w:rsid w:val="00184261"/>
    <w:rsid w:val="00191E70"/>
    <w:rsid w:val="001B31D9"/>
    <w:rsid w:val="00203EF8"/>
    <w:rsid w:val="002214AE"/>
    <w:rsid w:val="00230672"/>
    <w:rsid w:val="00244B98"/>
    <w:rsid w:val="00244EE8"/>
    <w:rsid w:val="0025125F"/>
    <w:rsid w:val="0025575B"/>
    <w:rsid w:val="002748C4"/>
    <w:rsid w:val="00283476"/>
    <w:rsid w:val="00293922"/>
    <w:rsid w:val="002945A4"/>
    <w:rsid w:val="002B5057"/>
    <w:rsid w:val="002D49F6"/>
    <w:rsid w:val="0030615D"/>
    <w:rsid w:val="0030720A"/>
    <w:rsid w:val="0031026F"/>
    <w:rsid w:val="00310648"/>
    <w:rsid w:val="0033208A"/>
    <w:rsid w:val="00332853"/>
    <w:rsid w:val="0034374E"/>
    <w:rsid w:val="003905FA"/>
    <w:rsid w:val="00394EF7"/>
    <w:rsid w:val="003C67C6"/>
    <w:rsid w:val="003E01D9"/>
    <w:rsid w:val="0040262D"/>
    <w:rsid w:val="00405A36"/>
    <w:rsid w:val="004139C2"/>
    <w:rsid w:val="00436B66"/>
    <w:rsid w:val="00461509"/>
    <w:rsid w:val="0047129E"/>
    <w:rsid w:val="00472412"/>
    <w:rsid w:val="004A0E86"/>
    <w:rsid w:val="004A0FDF"/>
    <w:rsid w:val="004B5F73"/>
    <w:rsid w:val="004C7F07"/>
    <w:rsid w:val="004D2F49"/>
    <w:rsid w:val="004D411E"/>
    <w:rsid w:val="004F0A63"/>
    <w:rsid w:val="00516F07"/>
    <w:rsid w:val="00522E95"/>
    <w:rsid w:val="00533B8A"/>
    <w:rsid w:val="0053416D"/>
    <w:rsid w:val="005347CB"/>
    <w:rsid w:val="00564516"/>
    <w:rsid w:val="00576EA2"/>
    <w:rsid w:val="00581528"/>
    <w:rsid w:val="005A7263"/>
    <w:rsid w:val="005D1735"/>
    <w:rsid w:val="005D6CCB"/>
    <w:rsid w:val="005E2B61"/>
    <w:rsid w:val="005E665A"/>
    <w:rsid w:val="005E6B2B"/>
    <w:rsid w:val="005F146B"/>
    <w:rsid w:val="005F2DC0"/>
    <w:rsid w:val="00617623"/>
    <w:rsid w:val="00653300"/>
    <w:rsid w:val="0066216B"/>
    <w:rsid w:val="006802D9"/>
    <w:rsid w:val="00682CF1"/>
    <w:rsid w:val="006A7BA7"/>
    <w:rsid w:val="006C4F33"/>
    <w:rsid w:val="006D39E2"/>
    <w:rsid w:val="006D5873"/>
    <w:rsid w:val="00743227"/>
    <w:rsid w:val="00743ED8"/>
    <w:rsid w:val="00756BC3"/>
    <w:rsid w:val="0076016B"/>
    <w:rsid w:val="007A4BE3"/>
    <w:rsid w:val="007B1C91"/>
    <w:rsid w:val="007C0BF1"/>
    <w:rsid w:val="007C42C3"/>
    <w:rsid w:val="007E2A87"/>
    <w:rsid w:val="007E7D2F"/>
    <w:rsid w:val="007F6A0E"/>
    <w:rsid w:val="008009C0"/>
    <w:rsid w:val="00805E72"/>
    <w:rsid w:val="00814326"/>
    <w:rsid w:val="00817590"/>
    <w:rsid w:val="0082253F"/>
    <w:rsid w:val="00850A7E"/>
    <w:rsid w:val="00851A81"/>
    <w:rsid w:val="0086679C"/>
    <w:rsid w:val="00891738"/>
    <w:rsid w:val="00895097"/>
    <w:rsid w:val="008C0E18"/>
    <w:rsid w:val="008C75CB"/>
    <w:rsid w:val="008D37A7"/>
    <w:rsid w:val="00921C38"/>
    <w:rsid w:val="00932FA9"/>
    <w:rsid w:val="00987452"/>
    <w:rsid w:val="009B7B93"/>
    <w:rsid w:val="009D0826"/>
    <w:rsid w:val="00A27A1A"/>
    <w:rsid w:val="00A6075B"/>
    <w:rsid w:val="00A60B6D"/>
    <w:rsid w:val="00A635CE"/>
    <w:rsid w:val="00A64D1D"/>
    <w:rsid w:val="00A72835"/>
    <w:rsid w:val="00A82CD2"/>
    <w:rsid w:val="00AA1A8F"/>
    <w:rsid w:val="00AA5301"/>
    <w:rsid w:val="00AD01AE"/>
    <w:rsid w:val="00AD0628"/>
    <w:rsid w:val="00AF2F19"/>
    <w:rsid w:val="00AF5D1A"/>
    <w:rsid w:val="00B25D65"/>
    <w:rsid w:val="00B25E7E"/>
    <w:rsid w:val="00B44550"/>
    <w:rsid w:val="00B44CEF"/>
    <w:rsid w:val="00B51C02"/>
    <w:rsid w:val="00B558CE"/>
    <w:rsid w:val="00B927E0"/>
    <w:rsid w:val="00B943DF"/>
    <w:rsid w:val="00B944DD"/>
    <w:rsid w:val="00BA0012"/>
    <w:rsid w:val="00BA0E79"/>
    <w:rsid w:val="00BC34CB"/>
    <w:rsid w:val="00BC48B2"/>
    <w:rsid w:val="00BC647B"/>
    <w:rsid w:val="00BE24A9"/>
    <w:rsid w:val="00C026D7"/>
    <w:rsid w:val="00C15AD0"/>
    <w:rsid w:val="00C22B33"/>
    <w:rsid w:val="00C279D5"/>
    <w:rsid w:val="00C34AE3"/>
    <w:rsid w:val="00CA34DD"/>
    <w:rsid w:val="00CB2870"/>
    <w:rsid w:val="00CC4533"/>
    <w:rsid w:val="00CD481C"/>
    <w:rsid w:val="00CD55BC"/>
    <w:rsid w:val="00CE04BB"/>
    <w:rsid w:val="00D14D8F"/>
    <w:rsid w:val="00D441EA"/>
    <w:rsid w:val="00D4511A"/>
    <w:rsid w:val="00D45A29"/>
    <w:rsid w:val="00D55B8B"/>
    <w:rsid w:val="00D91427"/>
    <w:rsid w:val="00D94DCE"/>
    <w:rsid w:val="00DA2448"/>
    <w:rsid w:val="00DA7302"/>
    <w:rsid w:val="00DB31CB"/>
    <w:rsid w:val="00DC2815"/>
    <w:rsid w:val="00DF34C8"/>
    <w:rsid w:val="00E02673"/>
    <w:rsid w:val="00E12A6A"/>
    <w:rsid w:val="00E21982"/>
    <w:rsid w:val="00E3440C"/>
    <w:rsid w:val="00E41EC8"/>
    <w:rsid w:val="00E4347A"/>
    <w:rsid w:val="00E61B79"/>
    <w:rsid w:val="00E80EA7"/>
    <w:rsid w:val="00E80F83"/>
    <w:rsid w:val="00E83314"/>
    <w:rsid w:val="00E93055"/>
    <w:rsid w:val="00E9459E"/>
    <w:rsid w:val="00EA0C71"/>
    <w:rsid w:val="00EA68BD"/>
    <w:rsid w:val="00EA7F78"/>
    <w:rsid w:val="00EB551D"/>
    <w:rsid w:val="00ED624E"/>
    <w:rsid w:val="00EF6DCA"/>
    <w:rsid w:val="00F07F16"/>
    <w:rsid w:val="00F2107F"/>
    <w:rsid w:val="00F441AA"/>
    <w:rsid w:val="00F44798"/>
    <w:rsid w:val="00F77982"/>
    <w:rsid w:val="00F87519"/>
    <w:rsid w:val="00F95F85"/>
    <w:rsid w:val="00FA3CB1"/>
    <w:rsid w:val="00FA55B1"/>
    <w:rsid w:val="00FB6B88"/>
    <w:rsid w:val="00FC1BB4"/>
    <w:rsid w:val="41869A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5F5A"/>
  <w15:chartTrackingRefBased/>
  <w15:docId w15:val="{A9FE5092-4FCB-465F-9296-CAD7F2F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10" w:hanging="10"/>
    </w:pPr>
    <w:rPr>
      <w:rFonts w:ascii="FlandersArtSans-Regular" w:eastAsia="FlandersArtSans-Regular" w:hAnsi="FlandersArtSans-Regular" w:cs="FlandersArtSans-Regular"/>
      <w:color w:val="000000"/>
      <w:sz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CommentReference">
    <w:name w:val="annotation reference"/>
    <w:basedOn w:val="DefaultParagraphFont"/>
    <w:uiPriority w:val="99"/>
    <w:semiHidden/>
    <w:unhideWhenUsed/>
    <w:rsid w:val="007B1C91"/>
    <w:rPr>
      <w:sz w:val="16"/>
      <w:szCs w:val="16"/>
    </w:rPr>
  </w:style>
  <w:style w:type="paragraph" w:styleId="CommentText">
    <w:name w:val="annotation text"/>
    <w:basedOn w:val="Normal"/>
    <w:link w:val="CommentTextChar"/>
    <w:uiPriority w:val="99"/>
    <w:semiHidden/>
    <w:unhideWhenUsed/>
    <w:rsid w:val="007B1C91"/>
    <w:pPr>
      <w:spacing w:line="240" w:lineRule="auto"/>
    </w:pPr>
    <w:rPr>
      <w:szCs w:val="20"/>
    </w:rPr>
  </w:style>
  <w:style w:type="character" w:customStyle="1" w:styleId="CommentTextChar">
    <w:name w:val="Comment Text Char"/>
    <w:basedOn w:val="DefaultParagraphFont"/>
    <w:link w:val="CommentText"/>
    <w:uiPriority w:val="99"/>
    <w:semiHidden/>
    <w:rsid w:val="007B1C91"/>
    <w:rPr>
      <w:rFonts w:ascii="FlandersArtSans-Regular" w:eastAsia="FlandersArtSans-Regular" w:hAnsi="FlandersArtSans-Regular" w:cs="FlandersArtSans-Regular"/>
      <w:color w:val="000000"/>
      <w:sz w:val="20"/>
      <w:szCs w:val="20"/>
      <w:lang w:eastAsia="nl-BE"/>
    </w:rPr>
  </w:style>
  <w:style w:type="paragraph" w:styleId="CommentSubject">
    <w:name w:val="annotation subject"/>
    <w:basedOn w:val="CommentText"/>
    <w:next w:val="CommentText"/>
    <w:link w:val="CommentSubjectChar"/>
    <w:uiPriority w:val="99"/>
    <w:semiHidden/>
    <w:unhideWhenUsed/>
    <w:rsid w:val="007B1C91"/>
    <w:rPr>
      <w:b/>
      <w:bCs/>
    </w:rPr>
  </w:style>
  <w:style w:type="character" w:customStyle="1" w:styleId="CommentSubjectChar">
    <w:name w:val="Comment Subject Char"/>
    <w:basedOn w:val="CommentTextChar"/>
    <w:link w:val="CommentSubject"/>
    <w:uiPriority w:val="99"/>
    <w:semiHidden/>
    <w:rsid w:val="007B1C91"/>
    <w:rPr>
      <w:rFonts w:ascii="FlandersArtSans-Regular" w:eastAsia="FlandersArtSans-Regular" w:hAnsi="FlandersArtSans-Regular" w:cs="FlandersArtSans-Regular"/>
      <w:b/>
      <w:bCs/>
      <w:color w:val="000000"/>
      <w:sz w:val="20"/>
      <w:szCs w:val="20"/>
      <w:lang w:eastAsia="nl-BE"/>
    </w:rPr>
  </w:style>
  <w:style w:type="paragraph" w:styleId="NormalWeb">
    <w:name w:val="Normal (Web)"/>
    <w:basedOn w:val="Normal"/>
    <w:uiPriority w:val="99"/>
    <w:semiHidden/>
    <w:unhideWhenUsed/>
    <w:rsid w:val="002D49F6"/>
    <w:pPr>
      <w:spacing w:before="100" w:beforeAutospacing="1" w:after="100" w:afterAutospacing="1" w:line="240" w:lineRule="auto"/>
      <w:ind w:left="0" w:firstLine="0"/>
    </w:pPr>
    <w:rPr>
      <w:rFonts w:ascii="Calibri" w:eastAsiaTheme="minorHAnsi" w:hAnsi="Calibri" w:cs="Calibri"/>
      <w:color w:val="auto"/>
      <w:sz w:val="22"/>
    </w:rPr>
  </w:style>
  <w:style w:type="character" w:styleId="Strong">
    <w:name w:val="Strong"/>
    <w:basedOn w:val="DefaultParagraphFont"/>
    <w:uiPriority w:val="22"/>
    <w:qFormat/>
    <w:rsid w:val="002D4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28907">
      <w:bodyDiv w:val="1"/>
      <w:marLeft w:val="0"/>
      <w:marRight w:val="0"/>
      <w:marTop w:val="0"/>
      <w:marBottom w:val="0"/>
      <w:divBdr>
        <w:top w:val="none" w:sz="0" w:space="0" w:color="auto"/>
        <w:left w:val="none" w:sz="0" w:space="0" w:color="auto"/>
        <w:bottom w:val="none" w:sz="0" w:space="0" w:color="auto"/>
        <w:right w:val="none" w:sz="0" w:space="0" w:color="auto"/>
      </w:divBdr>
    </w:div>
    <w:div w:id="20944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1.png@01D8C1E2.0E0C5AD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mage001.png@01D8C143.3887C0A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cid:image002.png@01D8C114.8C128400"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nl-BE" sz="1800" b="1">
                <a:latin typeface="FlandersArtSans-Regular" panose="00000500000000000000" pitchFamily="2" charset="0"/>
              </a:rPr>
              <a:t>Vlaamse in- en uitvoer met OEKRAÏNE</a:t>
            </a:r>
          </a:p>
          <a:p>
            <a:pPr>
              <a:defRPr>
                <a:latin typeface="FlandersArtSans-Regular" panose="00000500000000000000" pitchFamily="2" charset="0"/>
              </a:defRPr>
            </a:pPr>
            <a:r>
              <a:rPr lang="nl-BE" sz="1100">
                <a:latin typeface="FlandersArtSans-Regular" panose="00000500000000000000" pitchFamily="2" charset="0"/>
              </a:rPr>
              <a:t>(sedert januari 2021, in € miljoen)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lineChart>
        <c:grouping val="standard"/>
        <c:varyColors val="0"/>
        <c:ser>
          <c:idx val="0"/>
          <c:order val="0"/>
          <c:tx>
            <c:strRef>
              <c:f>Sheet1!$B$3</c:f>
              <c:strCache>
                <c:ptCount val="1"/>
                <c:pt idx="0">
                  <c:v>Uitvoer</c:v>
                </c:pt>
              </c:strCache>
            </c:strRef>
          </c:tx>
          <c:spPr>
            <a:ln w="28575" cap="rnd">
              <a:solidFill>
                <a:schemeClr val="accent1"/>
              </a:solidFill>
              <a:round/>
            </a:ln>
            <a:effectLst/>
          </c:spPr>
          <c:marker>
            <c:symbol val="none"/>
          </c:marker>
          <c:cat>
            <c:numRef>
              <c:f>Sheet1!$A$4:$A$20</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Sheet1!$B$4:$B$20</c:f>
              <c:numCache>
                <c:formatCode>###.##</c:formatCode>
                <c:ptCount val="17"/>
                <c:pt idx="0">
                  <c:v>28.022862910000001</c:v>
                </c:pt>
                <c:pt idx="1">
                  <c:v>36.654572080000001</c:v>
                </c:pt>
                <c:pt idx="2">
                  <c:v>48.338919259999997</c:v>
                </c:pt>
                <c:pt idx="3">
                  <c:v>49.807993340000003</c:v>
                </c:pt>
                <c:pt idx="4">
                  <c:v>42.383131479999996</c:v>
                </c:pt>
                <c:pt idx="5">
                  <c:v>51.470011310000004</c:v>
                </c:pt>
                <c:pt idx="6">
                  <c:v>60.040002280000003</c:v>
                </c:pt>
                <c:pt idx="7">
                  <c:v>62.451348609999997</c:v>
                </c:pt>
                <c:pt idx="8">
                  <c:v>71.79296690000001</c:v>
                </c:pt>
                <c:pt idx="9">
                  <c:v>65.683776449999996</c:v>
                </c:pt>
                <c:pt idx="10">
                  <c:v>62.349354249999998</c:v>
                </c:pt>
                <c:pt idx="11">
                  <c:v>69.532528260000007</c:v>
                </c:pt>
                <c:pt idx="12">
                  <c:v>47.43460786</c:v>
                </c:pt>
                <c:pt idx="13">
                  <c:v>36.775009229999995</c:v>
                </c:pt>
                <c:pt idx="14">
                  <c:v>8.54782887</c:v>
                </c:pt>
                <c:pt idx="15">
                  <c:v>12.005250859999999</c:v>
                </c:pt>
                <c:pt idx="16">
                  <c:v>21.402378289999998</c:v>
                </c:pt>
              </c:numCache>
            </c:numRef>
          </c:val>
          <c:smooth val="0"/>
          <c:extLst>
            <c:ext xmlns:c16="http://schemas.microsoft.com/office/drawing/2014/chart" uri="{C3380CC4-5D6E-409C-BE32-E72D297353CC}">
              <c16:uniqueId val="{00000000-2BB2-4A9B-A8E1-B402277E3E82}"/>
            </c:ext>
          </c:extLst>
        </c:ser>
        <c:ser>
          <c:idx val="1"/>
          <c:order val="1"/>
          <c:tx>
            <c:strRef>
              <c:f>Sheet1!$C$3</c:f>
              <c:strCache>
                <c:ptCount val="1"/>
                <c:pt idx="0">
                  <c:v>Invoer</c:v>
                </c:pt>
              </c:strCache>
            </c:strRef>
          </c:tx>
          <c:spPr>
            <a:ln w="28575" cap="rnd">
              <a:solidFill>
                <a:schemeClr val="accent2"/>
              </a:solidFill>
              <a:round/>
            </a:ln>
            <a:effectLst/>
          </c:spPr>
          <c:marker>
            <c:symbol val="none"/>
          </c:marker>
          <c:cat>
            <c:numRef>
              <c:f>Sheet1!$A$4:$A$20</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Sheet1!$C$4:$C$20</c:f>
              <c:numCache>
                <c:formatCode>###.##</c:formatCode>
                <c:ptCount val="17"/>
                <c:pt idx="0">
                  <c:v>45.333716189999997</c:v>
                </c:pt>
                <c:pt idx="1">
                  <c:v>24.392931780000001</c:v>
                </c:pt>
                <c:pt idx="2">
                  <c:v>25.024151620000001</c:v>
                </c:pt>
                <c:pt idx="3">
                  <c:v>28.95112245</c:v>
                </c:pt>
                <c:pt idx="4">
                  <c:v>23.35548614</c:v>
                </c:pt>
                <c:pt idx="5">
                  <c:v>26.61850505</c:v>
                </c:pt>
                <c:pt idx="6">
                  <c:v>49.737911520000004</c:v>
                </c:pt>
                <c:pt idx="7">
                  <c:v>29.949927039999999</c:v>
                </c:pt>
                <c:pt idx="8">
                  <c:v>114.32392661</c:v>
                </c:pt>
                <c:pt idx="9">
                  <c:v>103.51026596999999</c:v>
                </c:pt>
                <c:pt idx="10">
                  <c:v>114.14031744</c:v>
                </c:pt>
                <c:pt idx="11">
                  <c:v>47.576359229999994</c:v>
                </c:pt>
                <c:pt idx="12">
                  <c:v>69.81968415</c:v>
                </c:pt>
                <c:pt idx="13">
                  <c:v>28.028907629999999</c:v>
                </c:pt>
                <c:pt idx="14">
                  <c:v>30.246728879999999</c:v>
                </c:pt>
                <c:pt idx="15">
                  <c:v>10.516479410000001</c:v>
                </c:pt>
                <c:pt idx="16">
                  <c:v>11.540761180000001</c:v>
                </c:pt>
              </c:numCache>
            </c:numRef>
          </c:val>
          <c:smooth val="0"/>
          <c:extLst>
            <c:ext xmlns:c16="http://schemas.microsoft.com/office/drawing/2014/chart" uri="{C3380CC4-5D6E-409C-BE32-E72D297353CC}">
              <c16:uniqueId val="{00000001-2BB2-4A9B-A8E1-B402277E3E82}"/>
            </c:ext>
          </c:extLst>
        </c:ser>
        <c:dLbls>
          <c:showLegendKey val="0"/>
          <c:showVal val="0"/>
          <c:showCatName val="0"/>
          <c:showSerName val="0"/>
          <c:showPercent val="0"/>
          <c:showBubbleSize val="0"/>
        </c:dLbls>
        <c:smooth val="0"/>
        <c:axId val="1498177871"/>
        <c:axId val="1498186607"/>
      </c:lineChart>
      <c:dateAx>
        <c:axId val="149817787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crossAx val="1498186607"/>
        <c:crosses val="autoZero"/>
        <c:auto val="1"/>
        <c:lblOffset val="100"/>
        <c:baseTimeUnit val="months"/>
      </c:dateAx>
      <c:valAx>
        <c:axId val="14981866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crossAx val="1498177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r>
              <a:rPr lang="en-US" sz="1800" b="1">
                <a:latin typeface="FlandersArtSans-Regular" panose="00000500000000000000" pitchFamily="2" charset="0"/>
              </a:rPr>
              <a:t>Vlaamse in- en uitvoer met RUSLAND</a:t>
            </a:r>
          </a:p>
          <a:p>
            <a:pPr>
              <a:defRPr>
                <a:latin typeface="FlandersArtSans-Regular" panose="00000500000000000000" pitchFamily="2" charset="0"/>
              </a:defRPr>
            </a:pPr>
            <a:r>
              <a:rPr lang="en-US" sz="1100">
                <a:latin typeface="FlandersArtSans-Regular" panose="00000500000000000000" pitchFamily="2" charset="0"/>
              </a:rPr>
              <a:t>(sedert</a:t>
            </a:r>
            <a:r>
              <a:rPr lang="en-US" sz="1100" baseline="0">
                <a:latin typeface="FlandersArtSans-Regular" panose="00000500000000000000" pitchFamily="2" charset="0"/>
              </a:rPr>
              <a:t> januari 2021, in € miljoen)</a:t>
            </a:r>
            <a:endParaRPr lang="en-US" sz="1100">
              <a:latin typeface="FlandersArtSans-Regular"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FlandersArtSans-Regular" panose="00000500000000000000" pitchFamily="2" charset="0"/>
              <a:ea typeface="+mn-ea"/>
              <a:cs typeface="+mn-cs"/>
            </a:defRPr>
          </a:pPr>
          <a:endParaRPr lang="nl-BE"/>
        </a:p>
      </c:txPr>
    </c:title>
    <c:autoTitleDeleted val="0"/>
    <c:plotArea>
      <c:layout/>
      <c:lineChart>
        <c:grouping val="standard"/>
        <c:varyColors val="0"/>
        <c:ser>
          <c:idx val="0"/>
          <c:order val="0"/>
          <c:tx>
            <c:strRef>
              <c:f>Sheet1!$F$3</c:f>
              <c:strCache>
                <c:ptCount val="1"/>
                <c:pt idx="0">
                  <c:v>Uitvoer</c:v>
                </c:pt>
              </c:strCache>
            </c:strRef>
          </c:tx>
          <c:spPr>
            <a:ln w="28575" cap="rnd">
              <a:solidFill>
                <a:schemeClr val="accent1"/>
              </a:solidFill>
              <a:round/>
            </a:ln>
            <a:effectLst/>
          </c:spPr>
          <c:marker>
            <c:symbol val="none"/>
          </c:marker>
          <c:cat>
            <c:numRef>
              <c:f>Sheet1!$E$4:$E$20</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Sheet1!$F$4:$F$20</c:f>
              <c:numCache>
                <c:formatCode>###.##</c:formatCode>
                <c:ptCount val="17"/>
                <c:pt idx="0">
                  <c:v>338.45375279000001</c:v>
                </c:pt>
                <c:pt idx="1">
                  <c:v>386.79962896000001</c:v>
                </c:pt>
                <c:pt idx="2">
                  <c:v>315.43647795999999</c:v>
                </c:pt>
                <c:pt idx="3">
                  <c:v>304.06267335000001</c:v>
                </c:pt>
                <c:pt idx="4">
                  <c:v>299.41580599999998</c:v>
                </c:pt>
                <c:pt idx="5">
                  <c:v>283.30879643999998</c:v>
                </c:pt>
                <c:pt idx="6">
                  <c:v>303.72916800000002</c:v>
                </c:pt>
                <c:pt idx="7">
                  <c:v>339.05524352999998</c:v>
                </c:pt>
                <c:pt idx="8">
                  <c:v>368.40396272000004</c:v>
                </c:pt>
                <c:pt idx="9">
                  <c:v>336.87593297000001</c:v>
                </c:pt>
                <c:pt idx="10">
                  <c:v>352.87695279000002</c:v>
                </c:pt>
                <c:pt idx="11">
                  <c:v>335.57307605</c:v>
                </c:pt>
                <c:pt idx="12">
                  <c:v>390.09624514000001</c:v>
                </c:pt>
                <c:pt idx="13">
                  <c:v>461.40905743999997</c:v>
                </c:pt>
                <c:pt idx="14">
                  <c:v>251.56516103000001</c:v>
                </c:pt>
                <c:pt idx="15">
                  <c:v>150.66003262000001</c:v>
                </c:pt>
                <c:pt idx="16">
                  <c:v>214.18229732</c:v>
                </c:pt>
              </c:numCache>
            </c:numRef>
          </c:val>
          <c:smooth val="0"/>
          <c:extLst>
            <c:ext xmlns:c16="http://schemas.microsoft.com/office/drawing/2014/chart" uri="{C3380CC4-5D6E-409C-BE32-E72D297353CC}">
              <c16:uniqueId val="{00000000-3EBC-466C-A79C-B8BB282DC73B}"/>
            </c:ext>
          </c:extLst>
        </c:ser>
        <c:ser>
          <c:idx val="1"/>
          <c:order val="1"/>
          <c:tx>
            <c:strRef>
              <c:f>Sheet1!$G$3</c:f>
              <c:strCache>
                <c:ptCount val="1"/>
                <c:pt idx="0">
                  <c:v>Invoer</c:v>
                </c:pt>
              </c:strCache>
            </c:strRef>
          </c:tx>
          <c:spPr>
            <a:ln w="28575" cap="rnd">
              <a:solidFill>
                <a:schemeClr val="accent2"/>
              </a:solidFill>
              <a:round/>
            </a:ln>
            <a:effectLst/>
          </c:spPr>
          <c:marker>
            <c:symbol val="none"/>
          </c:marker>
          <c:cat>
            <c:numRef>
              <c:f>Sheet1!$E$4:$E$20</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Sheet1!$G$4:$G$20</c:f>
              <c:numCache>
                <c:formatCode>###.##</c:formatCode>
                <c:ptCount val="17"/>
                <c:pt idx="0">
                  <c:v>409.23778136000004</c:v>
                </c:pt>
                <c:pt idx="1">
                  <c:v>395.83868899999999</c:v>
                </c:pt>
                <c:pt idx="2">
                  <c:v>582.59509848000005</c:v>
                </c:pt>
                <c:pt idx="3">
                  <c:v>511.57250139999996</c:v>
                </c:pt>
                <c:pt idx="4">
                  <c:v>545.55856055999993</c:v>
                </c:pt>
                <c:pt idx="5">
                  <c:v>700.44376566999995</c:v>
                </c:pt>
                <c:pt idx="6">
                  <c:v>466.61229313999996</c:v>
                </c:pt>
                <c:pt idx="7">
                  <c:v>506.90053425999997</c:v>
                </c:pt>
                <c:pt idx="8">
                  <c:v>537.70157794000011</c:v>
                </c:pt>
                <c:pt idx="9">
                  <c:v>682.83095100000003</c:v>
                </c:pt>
                <c:pt idx="10">
                  <c:v>682.70479338999996</c:v>
                </c:pt>
                <c:pt idx="11">
                  <c:v>645.25437894000004</c:v>
                </c:pt>
                <c:pt idx="12">
                  <c:v>1129.6353383599999</c:v>
                </c:pt>
                <c:pt idx="13">
                  <c:v>1122.9055389100001</c:v>
                </c:pt>
                <c:pt idx="14">
                  <c:v>1200.70866785</c:v>
                </c:pt>
                <c:pt idx="15">
                  <c:v>1304.43416299</c:v>
                </c:pt>
                <c:pt idx="16">
                  <c:v>1040.23566551</c:v>
                </c:pt>
              </c:numCache>
            </c:numRef>
          </c:val>
          <c:smooth val="0"/>
          <c:extLst>
            <c:ext xmlns:c16="http://schemas.microsoft.com/office/drawing/2014/chart" uri="{C3380CC4-5D6E-409C-BE32-E72D297353CC}">
              <c16:uniqueId val="{00000001-3EBC-466C-A79C-B8BB282DC73B}"/>
            </c:ext>
          </c:extLst>
        </c:ser>
        <c:dLbls>
          <c:showLegendKey val="0"/>
          <c:showVal val="0"/>
          <c:showCatName val="0"/>
          <c:showSerName val="0"/>
          <c:showPercent val="0"/>
          <c:showBubbleSize val="0"/>
        </c:dLbls>
        <c:smooth val="0"/>
        <c:axId val="1402031711"/>
        <c:axId val="1402021727"/>
      </c:lineChart>
      <c:dateAx>
        <c:axId val="140203171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crossAx val="1402021727"/>
        <c:crosses val="autoZero"/>
        <c:auto val="1"/>
        <c:lblOffset val="100"/>
        <c:baseTimeUnit val="months"/>
      </c:dateAx>
      <c:valAx>
        <c:axId val="14020217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crossAx val="1402031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landersArtSans-Regular" panose="00000500000000000000" pitchFamily="2"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511acd-6f42-4ecd-a1be-24b162ea6fe8">
      <Terms xmlns="http://schemas.microsoft.com/office/infopath/2007/PartnerControls"/>
    </lcf76f155ced4ddcb4097134ff3c332f>
    <TaxCatchAll xmlns="e49a717b-148b-4dae-8ab7-70e7ebfa41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DC535F839E5C40A94D7479B81C4BD0" ma:contentTypeVersion="14" ma:contentTypeDescription="Create a new document." ma:contentTypeScope="" ma:versionID="1ca4e1978f512772323ed7a07601c821">
  <xsd:schema xmlns:xsd="http://www.w3.org/2001/XMLSchema" xmlns:xs="http://www.w3.org/2001/XMLSchema" xmlns:p="http://schemas.microsoft.com/office/2006/metadata/properties" xmlns:ns2="7a511acd-6f42-4ecd-a1be-24b162ea6fe8" xmlns:ns3="e49a717b-148b-4dae-8ab7-70e7ebfa418d" targetNamespace="http://schemas.microsoft.com/office/2006/metadata/properties" ma:root="true" ma:fieldsID="9fe5a7923a4bdcfc8eb82b79c28e2af0" ns2:_="" ns3:_="">
    <xsd:import namespace="7a511acd-6f42-4ecd-a1be-24b162ea6fe8"/>
    <xsd:import namespace="e49a717b-148b-4dae-8ab7-70e7ebfa4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11acd-6f42-4ecd-a1be-24b162ea6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7ecf7a-b934-4dbf-a8a3-f77858256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9a717b-148b-4dae-8ab7-70e7ebfa41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6036697-5eb9-497c-82d8-430bb8295755}" ma:internalName="TaxCatchAll" ma:showField="CatchAllData" ma:web="e49a717b-148b-4dae-8ab7-70e7ebfa4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53D94-EE72-4497-8B0F-0E691A6EDFBD}">
  <ds:schemaRefs>
    <ds:schemaRef ds:uri="http://schemas.microsoft.com/office/2006/metadata/properties"/>
    <ds:schemaRef ds:uri="http://schemas.microsoft.com/office/infopath/2007/PartnerControls"/>
    <ds:schemaRef ds:uri="7a511acd-6f42-4ecd-a1be-24b162ea6fe8"/>
    <ds:schemaRef ds:uri="e49a717b-148b-4dae-8ab7-70e7ebfa418d"/>
  </ds:schemaRefs>
</ds:datastoreItem>
</file>

<file path=customXml/itemProps2.xml><?xml version="1.0" encoding="utf-8"?>
<ds:datastoreItem xmlns:ds="http://schemas.openxmlformats.org/officeDocument/2006/customXml" ds:itemID="{1870AA10-8090-4418-A6C6-3CC7CF018D89}">
  <ds:schemaRefs>
    <ds:schemaRef ds:uri="http://schemas.openxmlformats.org/officeDocument/2006/bibliography"/>
  </ds:schemaRefs>
</ds:datastoreItem>
</file>

<file path=customXml/itemProps3.xml><?xml version="1.0" encoding="utf-8"?>
<ds:datastoreItem xmlns:ds="http://schemas.openxmlformats.org/officeDocument/2006/customXml" ds:itemID="{D19D16E4-E8BA-429D-A9B9-BAFC8B42E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11acd-6f42-4ecd-a1be-24b162ea6fe8"/>
    <ds:schemaRef ds:uri="e49a717b-148b-4dae-8ab7-70e7ebfa4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157E2-48FC-44D4-B268-1C67F98C3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10</Pages>
  <Words>1194</Words>
  <Characters>6567</Characters>
  <Application>Microsoft Office Word</Application>
  <DocSecurity>0</DocSecurity>
  <Lines>54</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 Verhaeghe</cp:lastModifiedBy>
  <cp:revision>197</cp:revision>
  <cp:lastPrinted>2021-09-06T08:41:00Z</cp:lastPrinted>
  <dcterms:created xsi:type="dcterms:W3CDTF">2022-09-06T13:44:00Z</dcterms:created>
  <dcterms:modified xsi:type="dcterms:W3CDTF">2022-09-08T06:17:00Z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0x010100A2DC535F839E5C40A94D7479B81C4BD0</vt:lpwstr>
  </property>
  <property fmtid="{D5CDD505-2E9C-101B-9397-08002B2CF9AE}" pid="3" name="MediaServiceImageTags">
    <vt:lpwstr/>
  </property>
</Properties>
</file>